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DFFE0" w14:textId="77777777" w:rsidR="00CC6421" w:rsidRDefault="00CC6421" w:rsidP="00A14DBA">
      <w:pPr>
        <w:spacing w:line="480" w:lineRule="auto"/>
        <w:jc w:val="center"/>
        <w:rPr>
          <w:rFonts w:ascii="Times New Roman" w:hAnsi="Times New Roman" w:cs="Times New Roman"/>
          <w:b/>
          <w:bCs/>
        </w:rPr>
      </w:pPr>
    </w:p>
    <w:p w14:paraId="4A7D9ED0" w14:textId="77777777" w:rsidR="00CC6421" w:rsidRDefault="00CC6421" w:rsidP="00A14DBA">
      <w:pPr>
        <w:spacing w:line="480" w:lineRule="auto"/>
        <w:jc w:val="center"/>
        <w:rPr>
          <w:rFonts w:ascii="Times New Roman" w:hAnsi="Times New Roman" w:cs="Times New Roman"/>
          <w:b/>
          <w:bCs/>
        </w:rPr>
      </w:pPr>
    </w:p>
    <w:p w14:paraId="51E53490" w14:textId="54DDC601" w:rsidR="00E23AB7" w:rsidRDefault="00A14DBA" w:rsidP="00A14DBA">
      <w:pPr>
        <w:spacing w:line="480" w:lineRule="auto"/>
        <w:jc w:val="center"/>
        <w:rPr>
          <w:rFonts w:ascii="Times New Roman" w:hAnsi="Times New Roman" w:cs="Times New Roman"/>
          <w:b/>
          <w:bCs/>
        </w:rPr>
      </w:pPr>
      <w:r w:rsidRPr="00A14DBA">
        <w:rPr>
          <w:rFonts w:ascii="Times New Roman" w:hAnsi="Times New Roman" w:cs="Times New Roman"/>
          <w:b/>
          <w:bCs/>
        </w:rPr>
        <w:t>Application of Scholarship to Practice</w:t>
      </w:r>
    </w:p>
    <w:p w14:paraId="2946DAF4" w14:textId="77777777" w:rsidR="00A84909" w:rsidRDefault="00A84909" w:rsidP="00A14DBA">
      <w:pPr>
        <w:spacing w:line="480" w:lineRule="auto"/>
        <w:jc w:val="center"/>
        <w:rPr>
          <w:rFonts w:ascii="Times New Roman" w:hAnsi="Times New Roman" w:cs="Times New Roman"/>
          <w:b/>
          <w:bCs/>
        </w:rPr>
      </w:pPr>
    </w:p>
    <w:p w14:paraId="52EFC372" w14:textId="77777777" w:rsidR="00CC6421" w:rsidRDefault="00CC6421" w:rsidP="00A14DBA">
      <w:pPr>
        <w:spacing w:line="480" w:lineRule="auto"/>
        <w:jc w:val="center"/>
        <w:rPr>
          <w:rFonts w:ascii="Times New Roman" w:hAnsi="Times New Roman" w:cs="Times New Roman"/>
          <w:b/>
          <w:bCs/>
        </w:rPr>
      </w:pPr>
    </w:p>
    <w:p w14:paraId="76ED0CCA" w14:textId="24506E7C" w:rsidR="00A84909" w:rsidRDefault="00A84909" w:rsidP="00A14DBA">
      <w:pPr>
        <w:spacing w:line="480" w:lineRule="auto"/>
        <w:jc w:val="center"/>
        <w:rPr>
          <w:rFonts w:ascii="Times New Roman" w:hAnsi="Times New Roman" w:cs="Times New Roman"/>
        </w:rPr>
      </w:pPr>
      <w:r>
        <w:rPr>
          <w:rFonts w:ascii="Times New Roman" w:hAnsi="Times New Roman" w:cs="Times New Roman"/>
        </w:rPr>
        <w:t xml:space="preserve">Abdul </w:t>
      </w:r>
      <w:proofErr w:type="spellStart"/>
      <w:r>
        <w:rPr>
          <w:rFonts w:ascii="Times New Roman" w:hAnsi="Times New Roman" w:cs="Times New Roman"/>
        </w:rPr>
        <w:t>Gaffar</w:t>
      </w:r>
      <w:proofErr w:type="spellEnd"/>
      <w:r>
        <w:rPr>
          <w:rFonts w:ascii="Times New Roman" w:hAnsi="Times New Roman" w:cs="Times New Roman"/>
        </w:rPr>
        <w:t xml:space="preserve"> </w:t>
      </w:r>
      <w:proofErr w:type="spellStart"/>
      <w:r>
        <w:rPr>
          <w:rFonts w:ascii="Times New Roman" w:hAnsi="Times New Roman" w:cs="Times New Roman"/>
        </w:rPr>
        <w:t>Haadi</w:t>
      </w:r>
      <w:proofErr w:type="spellEnd"/>
    </w:p>
    <w:p w14:paraId="1610ACBA" w14:textId="54B87C69" w:rsidR="00A84909" w:rsidRDefault="00A84909" w:rsidP="00A14DBA">
      <w:pPr>
        <w:spacing w:line="480" w:lineRule="auto"/>
        <w:jc w:val="center"/>
        <w:rPr>
          <w:rFonts w:ascii="Times New Roman" w:hAnsi="Times New Roman" w:cs="Times New Roman"/>
        </w:rPr>
      </w:pPr>
      <w:r>
        <w:rPr>
          <w:rFonts w:ascii="Times New Roman" w:hAnsi="Times New Roman" w:cs="Times New Roman"/>
        </w:rPr>
        <w:t>School of Education, Indiana University Bloomington</w:t>
      </w:r>
    </w:p>
    <w:p w14:paraId="748B8A8D" w14:textId="77777777" w:rsidR="004448BD" w:rsidRDefault="004448BD" w:rsidP="004448BD">
      <w:pPr>
        <w:spacing w:line="480" w:lineRule="auto"/>
        <w:jc w:val="center"/>
        <w:rPr>
          <w:rFonts w:ascii="Times New Roman" w:hAnsi="Times New Roman" w:cs="Times New Roman"/>
        </w:rPr>
      </w:pPr>
      <w:r w:rsidRPr="004448BD">
        <w:rPr>
          <w:rFonts w:ascii="Times New Roman" w:hAnsi="Times New Roman" w:cs="Times New Roman"/>
        </w:rPr>
        <w:t>EDUC - U547: Professional Development in Student Affairs</w:t>
      </w:r>
    </w:p>
    <w:p w14:paraId="0925235E" w14:textId="02613D03" w:rsidR="009232F4" w:rsidRDefault="009232F4" w:rsidP="004448BD">
      <w:pPr>
        <w:spacing w:line="480" w:lineRule="auto"/>
        <w:jc w:val="center"/>
        <w:rPr>
          <w:rFonts w:ascii="Times New Roman" w:hAnsi="Times New Roman" w:cs="Times New Roman"/>
        </w:rPr>
      </w:pPr>
      <w:r>
        <w:rPr>
          <w:rFonts w:ascii="Times New Roman" w:hAnsi="Times New Roman" w:cs="Times New Roman"/>
        </w:rPr>
        <w:t>Dr. Lamar Hylton</w:t>
      </w:r>
    </w:p>
    <w:p w14:paraId="0F0EB26C" w14:textId="1DAD7F4E" w:rsidR="009232F4" w:rsidRPr="004448BD" w:rsidRDefault="00CC6421" w:rsidP="004448BD">
      <w:pPr>
        <w:spacing w:line="480" w:lineRule="auto"/>
        <w:jc w:val="center"/>
        <w:rPr>
          <w:rFonts w:ascii="Times New Roman" w:hAnsi="Times New Roman" w:cs="Times New Roman"/>
        </w:rPr>
      </w:pPr>
      <w:r>
        <w:rPr>
          <w:rFonts w:ascii="Times New Roman" w:hAnsi="Times New Roman" w:cs="Times New Roman"/>
        </w:rPr>
        <w:t>April 23, 2025</w:t>
      </w:r>
    </w:p>
    <w:p w14:paraId="66E9ABEF" w14:textId="77777777" w:rsidR="004448BD" w:rsidRPr="00A84909" w:rsidRDefault="004448BD" w:rsidP="00A14DBA">
      <w:pPr>
        <w:spacing w:line="480" w:lineRule="auto"/>
        <w:jc w:val="center"/>
        <w:rPr>
          <w:rFonts w:ascii="Times New Roman" w:hAnsi="Times New Roman" w:cs="Times New Roman"/>
        </w:rPr>
      </w:pPr>
    </w:p>
    <w:p w14:paraId="65929932" w14:textId="77777777" w:rsidR="00E23AB7" w:rsidRDefault="00E23AB7" w:rsidP="00D16BA7">
      <w:pPr>
        <w:spacing w:line="480" w:lineRule="auto"/>
        <w:jc w:val="both"/>
        <w:rPr>
          <w:rFonts w:ascii="Times New Roman" w:hAnsi="Times New Roman" w:cs="Times New Roman"/>
          <w:b/>
          <w:bCs/>
        </w:rPr>
      </w:pPr>
    </w:p>
    <w:p w14:paraId="1D80D822" w14:textId="77777777" w:rsidR="00E23AB7" w:rsidRDefault="00E23AB7" w:rsidP="00D16BA7">
      <w:pPr>
        <w:spacing w:line="480" w:lineRule="auto"/>
        <w:jc w:val="both"/>
        <w:rPr>
          <w:rFonts w:ascii="Times New Roman" w:hAnsi="Times New Roman" w:cs="Times New Roman"/>
          <w:b/>
          <w:bCs/>
        </w:rPr>
      </w:pPr>
    </w:p>
    <w:p w14:paraId="0A8E7DD7" w14:textId="77777777" w:rsidR="00E23AB7" w:rsidRDefault="00E23AB7" w:rsidP="00D16BA7">
      <w:pPr>
        <w:spacing w:line="480" w:lineRule="auto"/>
        <w:jc w:val="both"/>
        <w:rPr>
          <w:rFonts w:ascii="Times New Roman" w:hAnsi="Times New Roman" w:cs="Times New Roman"/>
          <w:b/>
          <w:bCs/>
        </w:rPr>
      </w:pPr>
    </w:p>
    <w:p w14:paraId="65E419C3" w14:textId="77777777" w:rsidR="00E23AB7" w:rsidRDefault="00E23AB7" w:rsidP="00D16BA7">
      <w:pPr>
        <w:spacing w:line="480" w:lineRule="auto"/>
        <w:jc w:val="both"/>
        <w:rPr>
          <w:rFonts w:ascii="Times New Roman" w:hAnsi="Times New Roman" w:cs="Times New Roman"/>
          <w:b/>
          <w:bCs/>
        </w:rPr>
      </w:pPr>
    </w:p>
    <w:p w14:paraId="497F23A7" w14:textId="77777777" w:rsidR="00E23AB7" w:rsidRDefault="00E23AB7" w:rsidP="00D16BA7">
      <w:pPr>
        <w:spacing w:line="480" w:lineRule="auto"/>
        <w:jc w:val="both"/>
        <w:rPr>
          <w:rFonts w:ascii="Times New Roman" w:hAnsi="Times New Roman" w:cs="Times New Roman"/>
          <w:b/>
          <w:bCs/>
        </w:rPr>
      </w:pPr>
    </w:p>
    <w:p w14:paraId="473C1758" w14:textId="77777777" w:rsidR="00E23AB7" w:rsidRDefault="00E23AB7" w:rsidP="00D16BA7">
      <w:pPr>
        <w:spacing w:line="480" w:lineRule="auto"/>
        <w:jc w:val="both"/>
        <w:rPr>
          <w:rFonts w:ascii="Times New Roman" w:hAnsi="Times New Roman" w:cs="Times New Roman"/>
          <w:b/>
          <w:bCs/>
        </w:rPr>
      </w:pPr>
    </w:p>
    <w:p w14:paraId="467EDB18" w14:textId="77777777" w:rsidR="00E23AB7" w:rsidRDefault="00E23AB7" w:rsidP="00D16BA7">
      <w:pPr>
        <w:spacing w:line="480" w:lineRule="auto"/>
        <w:jc w:val="both"/>
        <w:rPr>
          <w:rFonts w:ascii="Times New Roman" w:hAnsi="Times New Roman" w:cs="Times New Roman"/>
          <w:b/>
          <w:bCs/>
        </w:rPr>
      </w:pPr>
    </w:p>
    <w:p w14:paraId="3D459887" w14:textId="76BBCB9B" w:rsidR="00D16BA7" w:rsidRPr="00D16BA7" w:rsidRDefault="00D16BA7" w:rsidP="00D16BA7">
      <w:pPr>
        <w:spacing w:line="480" w:lineRule="auto"/>
        <w:jc w:val="both"/>
        <w:rPr>
          <w:rFonts w:ascii="Times New Roman" w:hAnsi="Times New Roman" w:cs="Times New Roman"/>
          <w:b/>
          <w:bCs/>
        </w:rPr>
      </w:pPr>
      <w:r w:rsidRPr="00D16BA7">
        <w:rPr>
          <w:rFonts w:ascii="Times New Roman" w:hAnsi="Times New Roman" w:cs="Times New Roman"/>
          <w:b/>
          <w:bCs/>
        </w:rPr>
        <w:lastRenderedPageBreak/>
        <w:t>Application of Scholarship to Practice</w:t>
      </w:r>
      <w:r w:rsidR="0045591F">
        <w:rPr>
          <w:rFonts w:ascii="Times New Roman" w:hAnsi="Times New Roman" w:cs="Times New Roman"/>
          <w:b/>
          <w:bCs/>
        </w:rPr>
        <w:t xml:space="preserve"> I</w:t>
      </w:r>
    </w:p>
    <w:p w14:paraId="31F95AF8" w14:textId="77777777" w:rsidR="00D16BA7" w:rsidRPr="00D16BA7" w:rsidRDefault="00D16BA7" w:rsidP="00D16BA7">
      <w:pPr>
        <w:spacing w:line="480" w:lineRule="auto"/>
        <w:jc w:val="both"/>
        <w:rPr>
          <w:rFonts w:ascii="Times New Roman" w:hAnsi="Times New Roman" w:cs="Times New Roman"/>
          <w:b/>
          <w:bCs/>
        </w:rPr>
      </w:pPr>
      <w:r w:rsidRPr="00D16BA7">
        <w:rPr>
          <w:rFonts w:ascii="Times New Roman" w:hAnsi="Times New Roman" w:cs="Times New Roman"/>
          <w:b/>
          <w:bCs/>
        </w:rPr>
        <w:t>Introduction </w:t>
      </w:r>
    </w:p>
    <w:p w14:paraId="4623B376"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The integration of organizational theory into the practice of higher education administration is pivotal for creating and sustaining environments that not only foster student success but also enhance institutional effectiveness (Bess &amp; Dee, 2012). In my role as the Assistant Coordinator for Center Management in Residential Life at Indiana University Bloomington (IUB), I am tasked with understanding the intricate interplay between organizational structures, institutional missions, and campus cultures that shape our day-to-day operations. This paper aims to delve into the application of organizational theory within my professional practice, highlighting how the core characteristics of IUB align with the operational dynamics of the Residential Life division.</w:t>
      </w:r>
    </w:p>
    <w:p w14:paraId="62A887C3" w14:textId="77777777" w:rsidR="00D16BA7" w:rsidRPr="00D16BA7" w:rsidRDefault="00D16BA7" w:rsidP="00D16BA7">
      <w:pPr>
        <w:spacing w:line="480" w:lineRule="auto"/>
        <w:jc w:val="both"/>
        <w:rPr>
          <w:rFonts w:ascii="Times New Roman" w:hAnsi="Times New Roman" w:cs="Times New Roman"/>
          <w:b/>
          <w:bCs/>
        </w:rPr>
      </w:pPr>
      <w:r w:rsidRPr="00D16BA7">
        <w:rPr>
          <w:rFonts w:ascii="Times New Roman" w:hAnsi="Times New Roman" w:cs="Times New Roman"/>
          <w:b/>
          <w:bCs/>
        </w:rPr>
        <w:t>Institutional Mission and Organizational Structure  </w:t>
      </w:r>
    </w:p>
    <w:p w14:paraId="766D3222"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Indiana University Bloomington serves as the flagship campus for Indiana University, renowned for its robust residential life and doctoral programs. The university is deeply committed to the creation, dissemination, preservation, and application of knowledge, a mission articulated through its emphasis on academic rigor, research innovation, and active community engagement (</w:t>
      </w:r>
      <w:proofErr w:type="spellStart"/>
      <w:r w:rsidRPr="00D16BA7">
        <w:rPr>
          <w:rFonts w:ascii="Times New Roman" w:hAnsi="Times New Roman" w:cs="Times New Roman"/>
        </w:rPr>
        <w:t>Kezar</w:t>
      </w:r>
      <w:proofErr w:type="spellEnd"/>
      <w:r w:rsidRPr="00D16BA7">
        <w:rPr>
          <w:rFonts w:ascii="Times New Roman" w:hAnsi="Times New Roman" w:cs="Times New Roman"/>
        </w:rPr>
        <w:t>, 2001). This commitment manifests in the Office of Student Life, which plays a crucial role in promoting student success by cultivating transformative experiences that contribute to emotional well-being, a sense of belonging, and holistic personal development.</w:t>
      </w:r>
    </w:p>
    <w:p w14:paraId="56292A93"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 xml:space="preserve">Within this mission-driven framework, the Residential Life department strives to create impactful student experiences. Our approach is centered on fostering meaningful relationships, supporting individual growth, and instilling a strong sense of community among students residing in our facilities. Our initiatives include structured programming, mentorship opportunities, and </w:t>
      </w:r>
      <w:r w:rsidRPr="00D16BA7">
        <w:rPr>
          <w:rFonts w:ascii="Times New Roman" w:hAnsi="Times New Roman" w:cs="Times New Roman"/>
        </w:rPr>
        <w:lastRenderedPageBreak/>
        <w:t>community-building activities designed to enhance student engagement and resilience. The overarching goal is to support students not only academically but also socially and emotionally, ensuring they feel valued and connected within the university community. By aligning our operational strategies with IUB's institutional mission, we aim to cultivate a residential environment that nurtures student success and personal development.</w:t>
      </w:r>
    </w:p>
    <w:p w14:paraId="04533CB9"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The organizational structure of Indiana University Bloomington (IUB) is thoughtfully designed to support its comprehensive mission, which encompasses a wide range of academic, social, and personal development initiatives (Bolman &amp; Deal, 2017). A key development in this structure is the establishment of the Office of Student Life, which serves as a strategic hub for student success initiatives. This office primarily focuses on critical areas such as student care and advocacy, fostering a sense of involvement and belonging, and promoting overall health and well-being. By reorganizing student services under this office, IUB ensures a more unified and streamlined approach, facilitating effective collaboration among various departments, including Residential Life, to significantly enhance the overall student experience.</w:t>
      </w:r>
    </w:p>
    <w:p w14:paraId="084D273A" w14:textId="77777777" w:rsidR="00D16BA7" w:rsidRPr="00D16BA7" w:rsidRDefault="00D16BA7" w:rsidP="00D16BA7">
      <w:pPr>
        <w:spacing w:line="480" w:lineRule="auto"/>
        <w:jc w:val="both"/>
        <w:rPr>
          <w:rFonts w:ascii="Times New Roman" w:hAnsi="Times New Roman" w:cs="Times New Roman"/>
          <w:b/>
          <w:bCs/>
        </w:rPr>
      </w:pPr>
      <w:r w:rsidRPr="00D16BA7">
        <w:rPr>
          <w:rFonts w:ascii="Times New Roman" w:hAnsi="Times New Roman" w:cs="Times New Roman"/>
          <w:b/>
          <w:bCs/>
        </w:rPr>
        <w:t>Application of Organizational Theory</w:t>
      </w:r>
    </w:p>
    <w:p w14:paraId="12E6A162"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The application of organizational theories provides essential frameworks that institutions can use to assess and refine their practices (Manning, 2013). Within the realm of higher education, certain theories stand out as especially pertinent:</w:t>
      </w:r>
    </w:p>
    <w:p w14:paraId="34C9E0C1" w14:textId="77777777" w:rsidR="00D16BA7" w:rsidRPr="00D16BA7" w:rsidRDefault="00D16BA7" w:rsidP="00D16BA7">
      <w:pPr>
        <w:numPr>
          <w:ilvl w:val="0"/>
          <w:numId w:val="1"/>
        </w:numPr>
        <w:spacing w:line="480" w:lineRule="auto"/>
        <w:jc w:val="both"/>
        <w:rPr>
          <w:rFonts w:ascii="Times New Roman" w:hAnsi="Times New Roman" w:cs="Times New Roman"/>
        </w:rPr>
      </w:pPr>
      <w:r w:rsidRPr="00D16BA7">
        <w:rPr>
          <w:rFonts w:ascii="Times New Roman" w:hAnsi="Times New Roman" w:cs="Times New Roman"/>
          <w:b/>
          <w:bCs/>
        </w:rPr>
        <w:t>Bureaucratic Theory:</w:t>
      </w:r>
      <w:r w:rsidRPr="00D16BA7">
        <w:rPr>
          <w:rFonts w:ascii="Times New Roman" w:hAnsi="Times New Roman" w:cs="Times New Roman"/>
        </w:rPr>
        <w:t xml:space="preserve"> Rooted in the work of Max Weber, bureaucratic theory advocates for a well-defined hierarchical structure characterized by clear rules and established roles (Weber, 1947). In the context of Residential Life at IUB, this theory manifests through the implementation of clearly defined reporting lines and standardized procedures, which work </w:t>
      </w:r>
      <w:r w:rsidRPr="00D16BA7">
        <w:rPr>
          <w:rFonts w:ascii="Times New Roman" w:hAnsi="Times New Roman" w:cs="Times New Roman"/>
        </w:rPr>
        <w:lastRenderedPageBreak/>
        <w:t>together to ensure consistency and reliability in student services. This structured approach not only aids in efficient decision-making but also establishes accountability within the department, enabling a more organized and effective delivery of services to students.</w:t>
      </w:r>
    </w:p>
    <w:p w14:paraId="3FC00FC6" w14:textId="77777777" w:rsidR="00D16BA7" w:rsidRPr="00D16BA7" w:rsidRDefault="00D16BA7" w:rsidP="00D16BA7">
      <w:pPr>
        <w:numPr>
          <w:ilvl w:val="0"/>
          <w:numId w:val="1"/>
        </w:numPr>
        <w:spacing w:line="480" w:lineRule="auto"/>
        <w:jc w:val="both"/>
        <w:rPr>
          <w:rFonts w:ascii="Times New Roman" w:hAnsi="Times New Roman" w:cs="Times New Roman"/>
        </w:rPr>
      </w:pPr>
      <w:r w:rsidRPr="00D16BA7">
        <w:rPr>
          <w:rFonts w:ascii="Times New Roman" w:hAnsi="Times New Roman" w:cs="Times New Roman"/>
          <w:b/>
          <w:bCs/>
        </w:rPr>
        <w:t>Collegial Model:</w:t>
      </w:r>
      <w:r w:rsidRPr="00D16BA7">
        <w:rPr>
          <w:rFonts w:ascii="Times New Roman" w:hAnsi="Times New Roman" w:cs="Times New Roman"/>
        </w:rPr>
        <w:t> This theory emphasizes the significance of shared decision-making and collaborative governance within an institution (Bess &amp; Dee, 2012). At IUB, this model is exemplified through the various cross-departmental committees and task forces that bring together diverse stakeholders to collaborate on key initiatives. These groups foster a culture of collaboration, which enhances both program development and the formulation of policies. By encouraging the involvement of individuals from different backgrounds and expertise, this approach cultivates a myriad of perspectives, resulting in comprehensive and innovative solutions that benefit the whole university community.</w:t>
      </w:r>
    </w:p>
    <w:p w14:paraId="4629F998" w14:textId="77777777" w:rsidR="00D16BA7" w:rsidRPr="00D16BA7" w:rsidRDefault="00D16BA7" w:rsidP="00D16BA7">
      <w:pPr>
        <w:numPr>
          <w:ilvl w:val="0"/>
          <w:numId w:val="1"/>
        </w:numPr>
        <w:spacing w:line="480" w:lineRule="auto"/>
        <w:jc w:val="both"/>
        <w:rPr>
          <w:rFonts w:ascii="Times New Roman" w:hAnsi="Times New Roman" w:cs="Times New Roman"/>
        </w:rPr>
      </w:pPr>
      <w:r w:rsidRPr="00D16BA7">
        <w:rPr>
          <w:rFonts w:ascii="Times New Roman" w:hAnsi="Times New Roman" w:cs="Times New Roman"/>
          <w:b/>
          <w:bCs/>
        </w:rPr>
        <w:t>Cultural Theory:</w:t>
      </w:r>
      <w:r w:rsidRPr="00D16BA7">
        <w:rPr>
          <w:rFonts w:ascii="Times New Roman" w:hAnsi="Times New Roman" w:cs="Times New Roman"/>
        </w:rPr>
        <w:t> Cultural theory concentrates on the shared values, beliefs, and norms that influence institutional behavior (Schein, 2010). At IUB, the mission statements of both the university and Residential Life reflect a strong culture focused on student development and inclusivity. This culture influences daily interactions among students and staff and informs long-term strategic planning efforts. Recognizing and understanding this cultural framework is crucial for implementing effective practices that resonate with the diverse needs and aspirations of the university community.</w:t>
      </w:r>
    </w:p>
    <w:p w14:paraId="53590DD1"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 xml:space="preserve">By incorporating these organizational theories, IUB adopts a strategic and nuanced approach to center management (Scott, 2013). The recognition of bureaucratic elements within the organizational structure enables staff to navigate administrative processes with greater efficiency, while the embrace of collegial principles fosters an environment ripe for collaborative problem-solving and innovative thinking. Moreover, a deep understanding of the institutional culture guides </w:t>
      </w:r>
      <w:r w:rsidRPr="00D16BA7">
        <w:rPr>
          <w:rFonts w:ascii="Times New Roman" w:hAnsi="Times New Roman" w:cs="Times New Roman"/>
        </w:rPr>
        <w:lastRenderedPageBreak/>
        <w:t>practices that align with the university's core values, ultimately enhancing the relevance and impact of initiatives undertaken by Residential Life and contributing to a vibrant and inclusive campus atmosphere.</w:t>
      </w:r>
    </w:p>
    <w:p w14:paraId="1A73DD59" w14:textId="77777777" w:rsidR="00D16BA7" w:rsidRPr="00D16BA7" w:rsidRDefault="00D16BA7" w:rsidP="00D16BA7">
      <w:pPr>
        <w:spacing w:line="480" w:lineRule="auto"/>
        <w:jc w:val="both"/>
        <w:rPr>
          <w:rFonts w:ascii="Times New Roman" w:hAnsi="Times New Roman" w:cs="Times New Roman"/>
          <w:b/>
          <w:bCs/>
        </w:rPr>
      </w:pPr>
      <w:r w:rsidRPr="00D16BA7">
        <w:rPr>
          <w:rFonts w:ascii="Times New Roman" w:hAnsi="Times New Roman" w:cs="Times New Roman"/>
          <w:b/>
          <w:bCs/>
        </w:rPr>
        <w:t>Linking Daily Practice to Institutional Mission and Culture</w:t>
      </w:r>
    </w:p>
    <w:p w14:paraId="69FF71AD"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In my role as the Assistant Coordinator for Center Management at Indiana University Bloomington, I am responsible for overseeing the intricate daily operations of our residential centers. This includes facilitating various student engagement activities and ensuring that our living environments are safe, inclusive, and conducive to personal growth and academic success. Each of these tasks is fundamentally connected to the university’s mission and the broader objectives of the Office of Student Life.</w:t>
      </w:r>
    </w:p>
    <w:p w14:paraId="07B8EB98"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Fostering Student Engagement and Development: A core facet of my role involves organizing a diverse array of programs that not only aim to enhance academic achievement but also encourage personal development among students. These initiatives, inspired by educational theories and practices (</w:t>
      </w:r>
      <w:proofErr w:type="spellStart"/>
      <w:r w:rsidRPr="00D16BA7">
        <w:rPr>
          <w:rFonts w:ascii="Times New Roman" w:hAnsi="Times New Roman" w:cs="Times New Roman"/>
        </w:rPr>
        <w:t>Kuh</w:t>
      </w:r>
      <w:proofErr w:type="spellEnd"/>
      <w:r w:rsidRPr="00D16BA7">
        <w:rPr>
          <w:rFonts w:ascii="Times New Roman" w:hAnsi="Times New Roman" w:cs="Times New Roman"/>
        </w:rPr>
        <w:t xml:space="preserve"> &amp; Whitt, 1988), are thoughtfully designed to support the holistic development of our students. For example, we host workshops on time management, study skills, and mental wellness that aim to empower students to achieve their academic goals while also nurturing their emotional and social well-being. By aligning these programs with the university’s commitment to knowledge dissemination and real-world application, we help students thrive in both their academic and personal lives.</w:t>
      </w:r>
    </w:p>
    <w:p w14:paraId="5C32CF5A"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 xml:space="preserve">Promoting Inclusivity and Belonging: Another critical aspect of my responsibilities is the development of initiatives aimed at cultivating a strong sense of community within our residence halls. These initiatives resonate deeply with the Office of Student Life’s mission to enhance care, </w:t>
      </w:r>
      <w:r w:rsidRPr="00D16BA7">
        <w:rPr>
          <w:rFonts w:ascii="Times New Roman" w:hAnsi="Times New Roman" w:cs="Times New Roman"/>
        </w:rPr>
        <w:lastRenderedPageBreak/>
        <w:t>belonging, and inclusivity, ultimately enriching the overall student experience (Wood, 2020). We implement programs such as multicultural events, peer support groups, and community service activities that encourage students from diverse backgrounds to interact, share their experiences, and build meaningful connections. By creating these inclusive environments, we not only ensure that every student feels valued but also foster a vibrant, supportive community that reflects the institution's core values.</w:t>
      </w:r>
    </w:p>
    <w:p w14:paraId="2449A52F"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Ensuring Operational Excellence: Beyond student engagement, I focus on the implementation of efficient administrative processes across our residential centers. This involves adopting practices rooted in the bureaucratic model, which emphasizes order, consistency, and accountability (Weber, 1947). By streamlining administrative tasks such as room assignments, maintenance requests, and event scheduling, we can provide timely and high-quality services to our residents. This operational excellence is crucial in supporting the university’s goal of delivering exceptional student services and maintaining a high standard of living environments.</w:t>
      </w:r>
    </w:p>
    <w:p w14:paraId="3852CEB9" w14:textId="77777777" w:rsidR="00D16BA7" w:rsidRPr="00D16BA7" w:rsidRDefault="00D16BA7" w:rsidP="00D16BA7">
      <w:pPr>
        <w:spacing w:line="480" w:lineRule="auto"/>
        <w:jc w:val="both"/>
        <w:rPr>
          <w:rFonts w:ascii="Times New Roman" w:hAnsi="Times New Roman" w:cs="Times New Roman"/>
          <w:b/>
          <w:bCs/>
        </w:rPr>
      </w:pPr>
      <w:r w:rsidRPr="00D16BA7">
        <w:rPr>
          <w:rFonts w:ascii="Times New Roman" w:hAnsi="Times New Roman" w:cs="Times New Roman"/>
          <w:b/>
          <w:bCs/>
        </w:rPr>
        <w:t>Conclusion</w:t>
      </w:r>
    </w:p>
    <w:p w14:paraId="5BD15018" w14:textId="77777777" w:rsidR="00D16BA7" w:rsidRPr="00D16BA7" w:rsidRDefault="00D16BA7" w:rsidP="00D16BA7">
      <w:pPr>
        <w:spacing w:line="480" w:lineRule="auto"/>
        <w:jc w:val="both"/>
        <w:rPr>
          <w:rFonts w:ascii="Times New Roman" w:hAnsi="Times New Roman" w:cs="Times New Roman"/>
        </w:rPr>
      </w:pPr>
      <w:r w:rsidRPr="00D16BA7">
        <w:rPr>
          <w:rFonts w:ascii="Times New Roman" w:hAnsi="Times New Roman" w:cs="Times New Roman"/>
        </w:rPr>
        <w:t>By integrating organizational theory into the daily operations of center management within Residential Life at Indiana University Bloomington, I establish a framework that aligns our practices with the institution's missions and values. Understanding and applying various organizational models allows us to navigate the complexities of administrative structures effectively, foster collaborative relationships among staff and students, and cultivate an enduring culture centered on student success and inclusivity. This alignment not only enhances the effectiveness of our Residential Life initiatives but also reinforces Indiana University's overarching commitment to academic excellence, community engagement, and the overall well-being of our student body.</w:t>
      </w:r>
    </w:p>
    <w:p w14:paraId="5EF08915" w14:textId="7A7C3E90" w:rsidR="00733B2A" w:rsidRDefault="00733B2A" w:rsidP="00277376">
      <w:pPr>
        <w:spacing w:line="480" w:lineRule="auto"/>
        <w:jc w:val="both"/>
        <w:rPr>
          <w:rFonts w:ascii="Times New Roman" w:hAnsi="Times New Roman" w:cs="Times New Roman"/>
          <w:b/>
          <w:bCs/>
        </w:rPr>
      </w:pPr>
      <w:r w:rsidRPr="00733B2A">
        <w:rPr>
          <w:rFonts w:ascii="Times New Roman" w:hAnsi="Times New Roman" w:cs="Times New Roman"/>
          <w:b/>
          <w:bCs/>
        </w:rPr>
        <w:lastRenderedPageBreak/>
        <w:t>Application of Scholarship to Practice - DRAFT Section III</w:t>
      </w:r>
    </w:p>
    <w:p w14:paraId="453AE0F8" w14:textId="7B03E18B"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Introduction</w:t>
      </w:r>
    </w:p>
    <w:p w14:paraId="7ED56B1F" w14:textId="77777777" w:rsidR="00277376" w:rsidRPr="00072BB3" w:rsidRDefault="00277376" w:rsidP="00277376">
      <w:pPr>
        <w:spacing w:line="480" w:lineRule="auto"/>
        <w:jc w:val="both"/>
        <w:rPr>
          <w:rFonts w:ascii="Times New Roman" w:hAnsi="Times New Roman" w:cs="Times New Roman"/>
        </w:rPr>
      </w:pPr>
      <w:r w:rsidRPr="00072BB3">
        <w:rPr>
          <w:rFonts w:ascii="Times New Roman" w:hAnsi="Times New Roman" w:cs="Times New Roman"/>
        </w:rPr>
        <w:t>In my role as the Assistant Coordinator for Center Management within the Office of Residence Life at Indiana University Bloomington (IUB), I am dedicated to fostering residential environments that are not only safe but also inclusive and developmentally enriching for all students. This position allows me to leverage the theoretical frameworks and principles I studied in the Higher Education and Student Affairs (HESA) curriculum and apply them practically each day.</w:t>
      </w:r>
    </w:p>
    <w:p w14:paraId="5C7B8D14" w14:textId="77777777" w:rsidR="00277376" w:rsidRPr="00072BB3" w:rsidRDefault="00277376" w:rsidP="00277376">
      <w:pPr>
        <w:spacing w:line="480" w:lineRule="auto"/>
        <w:jc w:val="both"/>
        <w:rPr>
          <w:rFonts w:ascii="Times New Roman" w:hAnsi="Times New Roman" w:cs="Times New Roman"/>
        </w:rPr>
      </w:pPr>
      <w:r w:rsidRPr="00072BB3">
        <w:rPr>
          <w:rFonts w:ascii="Times New Roman" w:hAnsi="Times New Roman" w:cs="Times New Roman"/>
        </w:rPr>
        <w:t xml:space="preserve">Specifically, I focus on creating an atmosphere where diversity is celebrated, and every resident feels welcomed and valued. To achieve this, I implement programming that addresses various student needs and promotes community engagement, enabling residents to connect meaningfully with one another. </w:t>
      </w:r>
    </w:p>
    <w:p w14:paraId="0AE02C2F"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 xml:space="preserve">In this paper, I will explore how my work in Residence Life adheres to the best practices in student affairs as outlined by </w:t>
      </w:r>
      <w:proofErr w:type="spellStart"/>
      <w:r w:rsidRPr="001741D4">
        <w:rPr>
          <w:rFonts w:ascii="Times New Roman" w:hAnsi="Times New Roman" w:cs="Times New Roman"/>
        </w:rPr>
        <w:t>Blimling</w:t>
      </w:r>
      <w:proofErr w:type="spellEnd"/>
      <w:r w:rsidRPr="001741D4">
        <w:rPr>
          <w:rFonts w:ascii="Times New Roman" w:hAnsi="Times New Roman" w:cs="Times New Roman"/>
        </w:rPr>
        <w:t>, Whitt, and Associates (1999). By integrating these principles with relevant theories of student development and learning, I aim to demonstrate my growth and evolution as a student affairs professional, highlighting specific examples of successful initiatives and the positive impact they have had on the student community.</w:t>
      </w:r>
    </w:p>
    <w:p w14:paraId="550BBA79"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Engaging Students in Active Learning</w:t>
      </w:r>
    </w:p>
    <w:p w14:paraId="3DFDA506"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Definition and Application</w:t>
      </w:r>
    </w:p>
    <w:p w14:paraId="46B0B4B1" w14:textId="77777777" w:rsidR="00277376" w:rsidRPr="00E12254" w:rsidRDefault="00277376" w:rsidP="00277376">
      <w:pPr>
        <w:spacing w:line="480" w:lineRule="auto"/>
        <w:jc w:val="both"/>
        <w:rPr>
          <w:rFonts w:ascii="Times New Roman" w:hAnsi="Times New Roman" w:cs="Times New Roman"/>
        </w:rPr>
      </w:pPr>
      <w:r w:rsidRPr="00E12254">
        <w:rPr>
          <w:rFonts w:ascii="Times New Roman" w:hAnsi="Times New Roman" w:cs="Times New Roman"/>
        </w:rPr>
        <w:t xml:space="preserve">Active learning is an instructional approach that motivates students to engage actively with the material, requiring them to analyze, evaluate, and apply what they have learned in practical ways </w:t>
      </w:r>
      <w:r w:rsidRPr="00E12254">
        <w:rPr>
          <w:rFonts w:ascii="Times New Roman" w:hAnsi="Times New Roman" w:cs="Times New Roman"/>
        </w:rPr>
        <w:lastRenderedPageBreak/>
        <w:t>(</w:t>
      </w:r>
      <w:proofErr w:type="spellStart"/>
      <w:r w:rsidRPr="00E12254">
        <w:rPr>
          <w:rFonts w:ascii="Times New Roman" w:hAnsi="Times New Roman" w:cs="Times New Roman"/>
        </w:rPr>
        <w:t>Bonwell</w:t>
      </w:r>
      <w:proofErr w:type="spellEnd"/>
      <w:r w:rsidRPr="00E12254">
        <w:rPr>
          <w:rFonts w:ascii="Times New Roman" w:hAnsi="Times New Roman" w:cs="Times New Roman"/>
        </w:rPr>
        <w:t xml:space="preserve"> &amp; </w:t>
      </w:r>
      <w:proofErr w:type="spellStart"/>
      <w:r w:rsidRPr="00E12254">
        <w:rPr>
          <w:rFonts w:ascii="Times New Roman" w:hAnsi="Times New Roman" w:cs="Times New Roman"/>
        </w:rPr>
        <w:t>Eison</w:t>
      </w:r>
      <w:proofErr w:type="spellEnd"/>
      <w:r w:rsidRPr="00E12254">
        <w:rPr>
          <w:rFonts w:ascii="Times New Roman" w:hAnsi="Times New Roman" w:cs="Times New Roman"/>
        </w:rPr>
        <w:t xml:space="preserve">, 1991). In my role as a graduate assistant, I </w:t>
      </w:r>
      <w:proofErr w:type="gramStart"/>
      <w:r w:rsidRPr="00E12254">
        <w:rPr>
          <w:rFonts w:ascii="Times New Roman" w:hAnsi="Times New Roman" w:cs="Times New Roman"/>
        </w:rPr>
        <w:t>have the opportunity to</w:t>
      </w:r>
      <w:proofErr w:type="gramEnd"/>
      <w:r w:rsidRPr="00E12254">
        <w:rPr>
          <w:rFonts w:ascii="Times New Roman" w:hAnsi="Times New Roman" w:cs="Times New Roman"/>
        </w:rPr>
        <w:t xml:space="preserve"> implement this principle through the design and execution of robust training sessions for Resident Assistants (RAs), with a strong emphasis on scenario-based learning and collaborative dialogue among peers.</w:t>
      </w:r>
    </w:p>
    <w:p w14:paraId="0410B828" w14:textId="77777777" w:rsidR="00277376" w:rsidRPr="001741D4" w:rsidRDefault="00277376" w:rsidP="00277376">
      <w:pPr>
        <w:spacing w:line="480" w:lineRule="auto"/>
        <w:jc w:val="both"/>
        <w:rPr>
          <w:rFonts w:ascii="Times New Roman" w:hAnsi="Times New Roman" w:cs="Times New Roman"/>
        </w:rPr>
      </w:pPr>
      <w:r w:rsidRPr="00E12254">
        <w:rPr>
          <w:rFonts w:ascii="Times New Roman" w:hAnsi="Times New Roman" w:cs="Times New Roman"/>
        </w:rPr>
        <w:t>For example, during the fall training program, I created an interactive conflict resolution module that allowed RAs to immerse themselves in realistic role-play scenarios depicting common conflicts that typically arise among students. These simulated situations included conflicts related to noise complaints, roommate disagreements, and issues of respect and inclusivity. After participating in these exercises, RAs engaged in guided reflection sessions where they could discuss their experiences, analyze their emotional responses, and evaluate their conflict resolution strategies. This reflective practice not only helps deepen their understanding but also aligns with Kolb's Experiential Learning Theory (1984), which highlights the importance of learning through direct experiences followed by thoughtful reflection.</w:t>
      </w:r>
    </w:p>
    <w:p w14:paraId="10757F72"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 xml:space="preserve">Furthermore, I actively integrate </w:t>
      </w:r>
      <w:proofErr w:type="spellStart"/>
      <w:r w:rsidRPr="001741D4">
        <w:rPr>
          <w:rFonts w:ascii="Times New Roman" w:hAnsi="Times New Roman" w:cs="Times New Roman"/>
        </w:rPr>
        <w:t>Astin's</w:t>
      </w:r>
      <w:proofErr w:type="spellEnd"/>
      <w:r w:rsidRPr="001741D4">
        <w:rPr>
          <w:rFonts w:ascii="Times New Roman" w:hAnsi="Times New Roman" w:cs="Times New Roman"/>
        </w:rPr>
        <w:t xml:space="preserve"> Theory of Student Involvement (1984), which posits that students learn best when they are engaged in the educational process. I encourage RAs to take initiative in shaping their learning environment by brainstorming ideas for community-building activities and conflict resolution workshops. By fostering an environment in which RAs feel empowered to contribute and make decisions, I aim to enhance their overall learning experience and develop their leadership skills.</w:t>
      </w:r>
    </w:p>
    <w:p w14:paraId="06A6F2A3"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Helping Students Develop Coherent Values and Ethical Standards</w:t>
      </w:r>
    </w:p>
    <w:p w14:paraId="4DB70FDC"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Promoting Character Development</w:t>
      </w:r>
    </w:p>
    <w:p w14:paraId="02E8510E" w14:textId="77777777" w:rsidR="00277376" w:rsidRPr="00EB62C7" w:rsidRDefault="00277376" w:rsidP="00277376">
      <w:pPr>
        <w:spacing w:line="480" w:lineRule="auto"/>
        <w:jc w:val="both"/>
        <w:rPr>
          <w:rFonts w:ascii="Times New Roman" w:hAnsi="Times New Roman" w:cs="Times New Roman"/>
        </w:rPr>
      </w:pPr>
      <w:r w:rsidRPr="00EB62C7">
        <w:rPr>
          <w:rFonts w:ascii="Times New Roman" w:hAnsi="Times New Roman" w:cs="Times New Roman"/>
        </w:rPr>
        <w:t xml:space="preserve">To foster students' moral and ethical development, I establish an environment that actively promotes reflection and meaningful dialogue about core values. For example, I lead monthly </w:t>
      </w:r>
      <w:r w:rsidRPr="00EB62C7">
        <w:rPr>
          <w:rFonts w:ascii="Times New Roman" w:hAnsi="Times New Roman" w:cs="Times New Roman"/>
        </w:rPr>
        <w:lastRenderedPageBreak/>
        <w:t>community meetings where residents gather to engage in thoughtful discussions on important themes such as respect, inclusion, and personal responsibility. These gatherings not only create a safe space for sharing ideas but are also structured around Kohlberg's Theory of Moral Development (1981), which outlines a series of stages through which individuals evolve in their understanding of moral reasoning.</w:t>
      </w:r>
    </w:p>
    <w:p w14:paraId="257A294E" w14:textId="77777777" w:rsidR="00277376" w:rsidRPr="00EB62C7" w:rsidRDefault="00277376" w:rsidP="00277376">
      <w:pPr>
        <w:spacing w:line="480" w:lineRule="auto"/>
        <w:jc w:val="both"/>
        <w:rPr>
          <w:rFonts w:ascii="Times New Roman" w:hAnsi="Times New Roman" w:cs="Times New Roman"/>
        </w:rPr>
      </w:pPr>
      <w:r w:rsidRPr="00EB62C7">
        <w:rPr>
          <w:rFonts w:ascii="Times New Roman" w:hAnsi="Times New Roman" w:cs="Times New Roman"/>
        </w:rPr>
        <w:t xml:space="preserve">During these meetings, I encourage students to articulate their personal values and actively consider the perspectives of their peers. We explore questions that challenge their thinking and broaden their understanding of ethics, contributing significantly to their development of personal ethical frameworks. </w:t>
      </w:r>
    </w:p>
    <w:p w14:paraId="5A8F570D"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Moreover, I draw upon Perry's Theory of Intellectual and Ethical Development (1970), which suggests that exposure to diverse viewpoints fosters more complex ethical reasoning. By intentionally creating opportunities for students to engage with a variety of perspectives—whether through guest speakers, panel discussions, or collaborative projects—I aim to deepen their understanding of ethical issues and enhance their ability to navigate complex moral landscapes. This multifaceted approach not only nurtures their individual growth but also cultivates a strong sense of community and shared responsibility among students.</w:t>
      </w:r>
    </w:p>
    <w:p w14:paraId="480B63AA"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Setting and Communicating High Expectations for Learning</w:t>
      </w:r>
    </w:p>
    <w:p w14:paraId="77FB57B5"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Complementing Out-of-Class Learning</w:t>
      </w:r>
    </w:p>
    <w:p w14:paraId="0060AAA0" w14:textId="77777777" w:rsidR="00277376" w:rsidRPr="001741D4" w:rsidRDefault="00277376" w:rsidP="00277376">
      <w:pPr>
        <w:spacing w:line="480" w:lineRule="auto"/>
        <w:jc w:val="both"/>
        <w:rPr>
          <w:rFonts w:ascii="Times New Roman" w:hAnsi="Times New Roman" w:cs="Times New Roman"/>
        </w:rPr>
      </w:pPr>
      <w:r w:rsidRPr="00242C23">
        <w:rPr>
          <w:rFonts w:ascii="Times New Roman" w:hAnsi="Times New Roman" w:cs="Times New Roman"/>
        </w:rPr>
        <w:t xml:space="preserve">I strive to establish high expectations for student learning that extend beyond traditional classroom boundaries by implementing a series of targeted skill-building workshops. These workshops are designed to equip students with practical tools on essential topics such as time management, effective study strategies, and the development of emotional intelligence. </w:t>
      </w:r>
    </w:p>
    <w:p w14:paraId="177E76F2" w14:textId="77777777" w:rsidR="00277376" w:rsidRPr="00242C23" w:rsidRDefault="00277376" w:rsidP="00277376">
      <w:pPr>
        <w:spacing w:line="480" w:lineRule="auto"/>
        <w:jc w:val="both"/>
        <w:rPr>
          <w:rFonts w:ascii="Times New Roman" w:hAnsi="Times New Roman" w:cs="Times New Roman"/>
        </w:rPr>
      </w:pPr>
      <w:r w:rsidRPr="00242C23">
        <w:rPr>
          <w:rFonts w:ascii="Times New Roman" w:hAnsi="Times New Roman" w:cs="Times New Roman"/>
        </w:rPr>
        <w:lastRenderedPageBreak/>
        <w:t xml:space="preserve">These initiatives are deeply rooted in </w:t>
      </w:r>
      <w:proofErr w:type="spellStart"/>
      <w:r w:rsidRPr="00242C23">
        <w:rPr>
          <w:rFonts w:ascii="Times New Roman" w:hAnsi="Times New Roman" w:cs="Times New Roman"/>
        </w:rPr>
        <w:t>Astin's</w:t>
      </w:r>
      <w:proofErr w:type="spellEnd"/>
      <w:r w:rsidRPr="00242C23">
        <w:rPr>
          <w:rFonts w:ascii="Times New Roman" w:hAnsi="Times New Roman" w:cs="Times New Roman"/>
        </w:rPr>
        <w:t xml:space="preserve"> Theory of Student Involvement (1984), which emphasizes that students who actively engage in both academic pursuits and extracurricular activities experience greater holistic development. By fostering a vibrant, inclusive environment that encourages participation, I aim to enhance students' overall educational experience.</w:t>
      </w:r>
    </w:p>
    <w:p w14:paraId="69A5EBF1"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 xml:space="preserve">Furthermore, I incorporate insights from Chickering and </w:t>
      </w:r>
      <w:proofErr w:type="spellStart"/>
      <w:r w:rsidRPr="001741D4">
        <w:rPr>
          <w:rFonts w:ascii="Times New Roman" w:hAnsi="Times New Roman" w:cs="Times New Roman"/>
        </w:rPr>
        <w:t>Reisser's</w:t>
      </w:r>
      <w:proofErr w:type="spellEnd"/>
      <w:r w:rsidRPr="001741D4">
        <w:rPr>
          <w:rFonts w:ascii="Times New Roman" w:hAnsi="Times New Roman" w:cs="Times New Roman"/>
        </w:rPr>
        <w:t xml:space="preserve"> Seven Vectors of Development (1993), which emphasize the critical roles of identity formation and competence-building in students’ growth. Informed by these principles, the workshops are thoughtfully designed to not only enhance cognitive skills but also to promote personal growth, thereby helping students develop a well-rounded sense of self and preparedness for future challenges.</w:t>
      </w:r>
    </w:p>
    <w:p w14:paraId="1D597671"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Using Systematic Inquiry to Improve Student and Institutional Performance</w:t>
      </w:r>
    </w:p>
    <w:p w14:paraId="0C219CB4"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Data-Driven Assessment</w:t>
      </w:r>
    </w:p>
    <w:p w14:paraId="00855C18" w14:textId="77777777" w:rsidR="00277376" w:rsidRPr="00312007" w:rsidRDefault="00277376" w:rsidP="00277376">
      <w:pPr>
        <w:spacing w:line="480" w:lineRule="auto"/>
        <w:jc w:val="both"/>
        <w:rPr>
          <w:rFonts w:ascii="Times New Roman" w:hAnsi="Times New Roman" w:cs="Times New Roman"/>
        </w:rPr>
      </w:pPr>
      <w:r w:rsidRPr="00312007">
        <w:rPr>
          <w:rFonts w:ascii="Times New Roman" w:hAnsi="Times New Roman" w:cs="Times New Roman"/>
        </w:rPr>
        <w:t xml:space="preserve">To foster continuous improvement and ensure accountability within our residential programs, I actively employ a range of assessment tools designed to gather comprehensive feedback and evaluate program effectiveness. One notable initiative was the implementation of a mid-semester climate survey aimed specifically at understanding students' sense of belonging and their level of engagement within the residence halls. This survey consisted of a series of carefully crafted questions addressing various aspects of the residential experience, such as social interaction, access to resources, and overall satisfaction. </w:t>
      </w:r>
    </w:p>
    <w:p w14:paraId="172AA8C3" w14:textId="77777777" w:rsidR="00277376" w:rsidRPr="00312007" w:rsidRDefault="00277376" w:rsidP="00277376">
      <w:pPr>
        <w:spacing w:line="480" w:lineRule="auto"/>
        <w:jc w:val="both"/>
        <w:rPr>
          <w:rFonts w:ascii="Times New Roman" w:hAnsi="Times New Roman" w:cs="Times New Roman"/>
        </w:rPr>
      </w:pPr>
      <w:r w:rsidRPr="00312007">
        <w:rPr>
          <w:rFonts w:ascii="Times New Roman" w:hAnsi="Times New Roman" w:cs="Times New Roman"/>
        </w:rPr>
        <w:t xml:space="preserve">The insights gained from this survey were invaluable; they allowed us to identify specific areas of concern, such as students feeling isolated or lacking community connections. Armed with this data, we were able to implement targeted interventions, including the introduction of community-building events and peer mentorship programs. This approach aligns with the principles of </w:t>
      </w:r>
      <w:r w:rsidRPr="00312007">
        <w:rPr>
          <w:rFonts w:ascii="Times New Roman" w:hAnsi="Times New Roman" w:cs="Times New Roman"/>
        </w:rPr>
        <w:lastRenderedPageBreak/>
        <w:t>assessment outlined by Banta, T. W., &amp; Associates (2002), which stress the importance of utilizing data-driven insights to inform and enhance our practices.</w:t>
      </w:r>
    </w:p>
    <w:p w14:paraId="5A99027A"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Furthermore, I utilize assessment frameworks developed by Schuh, J. H., &amp; Associates (2011) to guide my inquiry and decision-making processes. These frameworks provide structured methodologies that help me analyze feedback and integrate findings into actionable strategies, ensuring that our residential programs are continuously evolving to meet the needs of our students.</w:t>
      </w:r>
    </w:p>
    <w:p w14:paraId="3B00EC28" w14:textId="77777777" w:rsidR="00277376" w:rsidRPr="001741D4" w:rsidRDefault="00277376" w:rsidP="00277376">
      <w:pPr>
        <w:spacing w:line="480" w:lineRule="auto"/>
        <w:jc w:val="both"/>
        <w:rPr>
          <w:rFonts w:ascii="Times New Roman" w:hAnsi="Times New Roman" w:cs="Times New Roman"/>
        </w:rPr>
      </w:pPr>
    </w:p>
    <w:p w14:paraId="2D7096FF"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Using Resources Effectively to Achieve Institutional Missions and Goals</w:t>
      </w:r>
    </w:p>
    <w:p w14:paraId="535D6DA8"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Prioritizing Resources to Meet Division Goals</w:t>
      </w:r>
    </w:p>
    <w:p w14:paraId="4244A8A3" w14:textId="77777777" w:rsidR="00277376" w:rsidRPr="00471CAF" w:rsidRDefault="00277376" w:rsidP="00277376">
      <w:pPr>
        <w:spacing w:line="480" w:lineRule="auto"/>
        <w:jc w:val="both"/>
        <w:rPr>
          <w:rFonts w:ascii="Times New Roman" w:hAnsi="Times New Roman" w:cs="Times New Roman"/>
        </w:rPr>
      </w:pPr>
      <w:r w:rsidRPr="00471CAF">
        <w:rPr>
          <w:rFonts w:ascii="Times New Roman" w:hAnsi="Times New Roman" w:cs="Times New Roman"/>
        </w:rPr>
        <w:t>My strategy for resource allocation is intricately connected to our institutional goals and the mission of our division, which is dedicated to enhancing student learning and fostering success. A key initiative I implemented involved collaborating closely with Counseling and Psychological Services (CAPS) to develop a series of comprehensive mental health workshops. These workshops, designed to address the increasing levels of stress and anxiety among our student population, cover vital topics such as coping mechanisms, mindfulness, and strategies for balancing academic and personal life.</w:t>
      </w:r>
    </w:p>
    <w:p w14:paraId="5F06508D"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 xml:space="preserve">By carefully aligning these workshops with both our institutional priorities and the specific needs of our students, I ensure our resources are not only effectively allocated but also have a significant positive impact on their well-being and academic performance. This method is firmly grounded in Birnbaum's (1988) organizational models, which emphasize the importance of strategically aligning institutional resources with mission-driven objectives. Ultimately, this approach creates </w:t>
      </w:r>
      <w:r w:rsidRPr="001741D4">
        <w:rPr>
          <w:rFonts w:ascii="Times New Roman" w:hAnsi="Times New Roman" w:cs="Times New Roman"/>
        </w:rPr>
        <w:lastRenderedPageBreak/>
        <w:t>an environment where students feel supported, valued, and equipped to succeed in their educational journeys.</w:t>
      </w:r>
    </w:p>
    <w:p w14:paraId="104D1B2D"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Forging Educational Partnerships That Advance Student Learning</w:t>
      </w:r>
    </w:p>
    <w:p w14:paraId="79183AAD"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Creating Seamless Learning Environments</w:t>
      </w:r>
    </w:p>
    <w:p w14:paraId="318FFAEE" w14:textId="77777777" w:rsidR="00277376" w:rsidRPr="009313E4" w:rsidRDefault="00277376" w:rsidP="00277376">
      <w:pPr>
        <w:spacing w:line="480" w:lineRule="auto"/>
        <w:jc w:val="both"/>
        <w:rPr>
          <w:rFonts w:ascii="Times New Roman" w:hAnsi="Times New Roman" w:cs="Times New Roman"/>
        </w:rPr>
      </w:pPr>
      <w:r w:rsidRPr="009313E4">
        <w:rPr>
          <w:rFonts w:ascii="Times New Roman" w:hAnsi="Times New Roman" w:cs="Times New Roman"/>
        </w:rPr>
        <w:t xml:space="preserve">I actively pursue partnerships that significantly enhance student learning by effectively bridging academic coursework with co-curricular experiences. A prime example of this approach is my collaboration with the Office of Multicultural Affairs to develop and facilitate a Cultural Competency Series held in the residence halls. This series consists of interactive workshops and discussions designed to create a safe space for students to explore and engage in meaningful conversations about diversity, inclusion, and cultural awareness. </w:t>
      </w:r>
    </w:p>
    <w:p w14:paraId="7B9A4E81"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 xml:space="preserve">Through these sessions, students are encouraged to share their experiences and perspectives, which promotes a deeper understanding of various identities and fosters a sense of community. This initiative aligns closely with Tinto's Theory of Integration (1993), which underscores the crucial role that both academic and social integration play in improving student retention rates. In addition, </w:t>
      </w:r>
      <w:proofErr w:type="spellStart"/>
      <w:r w:rsidRPr="001741D4">
        <w:rPr>
          <w:rFonts w:ascii="Times New Roman" w:hAnsi="Times New Roman" w:cs="Times New Roman"/>
        </w:rPr>
        <w:t>Kuh's</w:t>
      </w:r>
      <w:proofErr w:type="spellEnd"/>
      <w:r w:rsidRPr="001741D4">
        <w:rPr>
          <w:rFonts w:ascii="Times New Roman" w:hAnsi="Times New Roman" w:cs="Times New Roman"/>
        </w:rPr>
        <w:t xml:space="preserve"> High-Impact Practices (2008) emphasize the benefits of co-curricular activities like this series, showcasing their positive influence on student engagement and long-term persistence in their educational journeys. By providing these opportunities, we aim to cultivate a more inclusive campus environment where all students feel valued and empowered.</w:t>
      </w:r>
    </w:p>
    <w:p w14:paraId="69C2A718"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Building Supportive and Inclusive Communities</w:t>
      </w:r>
    </w:p>
    <w:p w14:paraId="6B9123D9" w14:textId="77777777" w:rsidR="00277376" w:rsidRPr="001741D4" w:rsidRDefault="00277376" w:rsidP="00277376">
      <w:pPr>
        <w:spacing w:line="480" w:lineRule="auto"/>
        <w:jc w:val="both"/>
        <w:rPr>
          <w:rFonts w:ascii="Times New Roman" w:hAnsi="Times New Roman" w:cs="Times New Roman"/>
          <w:b/>
          <w:bCs/>
        </w:rPr>
      </w:pPr>
      <w:r w:rsidRPr="001741D4">
        <w:rPr>
          <w:rFonts w:ascii="Times New Roman" w:hAnsi="Times New Roman" w:cs="Times New Roman"/>
          <w:b/>
          <w:bCs/>
        </w:rPr>
        <w:t>Defining Inclusion and Fostering Community</w:t>
      </w:r>
    </w:p>
    <w:p w14:paraId="3A193DC2" w14:textId="77777777" w:rsidR="00277376" w:rsidRPr="00AE4C47" w:rsidRDefault="00277376" w:rsidP="00277376">
      <w:pPr>
        <w:spacing w:line="480" w:lineRule="auto"/>
        <w:jc w:val="both"/>
        <w:rPr>
          <w:rFonts w:ascii="Times New Roman" w:hAnsi="Times New Roman" w:cs="Times New Roman"/>
        </w:rPr>
      </w:pPr>
      <w:r w:rsidRPr="00AE4C47">
        <w:rPr>
          <w:rFonts w:ascii="Times New Roman" w:hAnsi="Times New Roman" w:cs="Times New Roman"/>
        </w:rPr>
        <w:lastRenderedPageBreak/>
        <w:t>In my educational practice, I define inclusion as the intentional effort to create welcoming and supportive spaces where every student</w:t>
      </w:r>
      <w:r w:rsidRPr="001741D4">
        <w:rPr>
          <w:rFonts w:ascii="Times New Roman" w:hAnsi="Times New Roman" w:cs="Times New Roman"/>
        </w:rPr>
        <w:t xml:space="preserve"> - </w:t>
      </w:r>
      <w:r w:rsidRPr="00AE4C47">
        <w:rPr>
          <w:rFonts w:ascii="Times New Roman" w:hAnsi="Times New Roman" w:cs="Times New Roman"/>
        </w:rPr>
        <w:t>regardless of their background</w:t>
      </w:r>
      <w:r w:rsidRPr="001741D4">
        <w:rPr>
          <w:rFonts w:ascii="Times New Roman" w:hAnsi="Times New Roman" w:cs="Times New Roman"/>
        </w:rPr>
        <w:t xml:space="preserve"> - </w:t>
      </w:r>
      <w:r w:rsidRPr="00AE4C47">
        <w:rPr>
          <w:rFonts w:ascii="Times New Roman" w:hAnsi="Times New Roman" w:cs="Times New Roman"/>
        </w:rPr>
        <w:t>feels valued, respected, and empowered to express themselves. To foster this inclusivity, I implement identity-based affinity groups, which serve as safe havens for marginalized students. These groups provide an opportunity for students to share their unique experiences, struggles, and triumphs in an environment where they can be fully themselves without fear of judgment.</w:t>
      </w:r>
    </w:p>
    <w:p w14:paraId="7563141D" w14:textId="77777777" w:rsidR="00277376" w:rsidRPr="00AE4C47" w:rsidRDefault="00277376" w:rsidP="00277376">
      <w:pPr>
        <w:spacing w:line="480" w:lineRule="auto"/>
        <w:jc w:val="both"/>
        <w:rPr>
          <w:rFonts w:ascii="Times New Roman" w:hAnsi="Times New Roman" w:cs="Times New Roman"/>
        </w:rPr>
      </w:pPr>
      <w:r w:rsidRPr="00AE4C47">
        <w:rPr>
          <w:rFonts w:ascii="Times New Roman" w:hAnsi="Times New Roman" w:cs="Times New Roman"/>
        </w:rPr>
        <w:t>Furthermore, I prioritize the incorporation of diverse perspectives in all resident programming. This includes curating events and activities that highlight cultural celebrations, invite guest speakers from varied backgrounds, and engage students in discussions around equity and social justice. By doing so, I aim to amplify the voices of underrepresented communities and ensure that every student sees themselves reflected in our programming.</w:t>
      </w:r>
    </w:p>
    <w:p w14:paraId="7507982A" w14:textId="77777777" w:rsidR="00277376" w:rsidRPr="00AE4C47" w:rsidRDefault="00277376" w:rsidP="00277376">
      <w:pPr>
        <w:spacing w:line="480" w:lineRule="auto"/>
        <w:jc w:val="both"/>
        <w:rPr>
          <w:rFonts w:ascii="Times New Roman" w:hAnsi="Times New Roman" w:cs="Times New Roman"/>
        </w:rPr>
      </w:pPr>
      <w:r w:rsidRPr="00AE4C47">
        <w:rPr>
          <w:rFonts w:ascii="Times New Roman" w:hAnsi="Times New Roman" w:cs="Times New Roman"/>
        </w:rPr>
        <w:t>My approach is deeply informed by Schlossberg's Theory of Marginality and Mattering (1989), which underscores the significance of creating environments that affirm students’ sense of worth and belonging. I recognize that when students feel they matter, they are more likely to engage meaningfully with their peers and the broader community.</w:t>
      </w:r>
    </w:p>
    <w:p w14:paraId="31547039" w14:textId="77777777" w:rsidR="0009334C" w:rsidRDefault="00277376" w:rsidP="00277376">
      <w:pPr>
        <w:spacing w:line="480" w:lineRule="auto"/>
        <w:jc w:val="both"/>
        <w:rPr>
          <w:rFonts w:ascii="Times New Roman" w:hAnsi="Times New Roman" w:cs="Times New Roman"/>
        </w:rPr>
      </w:pPr>
      <w:r w:rsidRPr="001741D4">
        <w:rPr>
          <w:rFonts w:ascii="Times New Roman" w:hAnsi="Times New Roman" w:cs="Times New Roman"/>
        </w:rPr>
        <w:t>Additionally, I utilize the insights from Harper and Hurtado's research (2007) on inclusive campus climates to shape my strategies. This includes implementing initiatives designed to strengthen relationships among students and promote a sense of community, thereby ensuring that all individuals feel they belong within the residential environment. Through these concerted efforts, I strive to cultivate a residential community where every student can thrive.</w:t>
      </w:r>
    </w:p>
    <w:p w14:paraId="721027E4" w14:textId="12BB2A5A" w:rsidR="0009334C" w:rsidRPr="0009334C" w:rsidRDefault="00277376" w:rsidP="00277376">
      <w:pPr>
        <w:spacing w:line="480" w:lineRule="auto"/>
        <w:jc w:val="both"/>
        <w:rPr>
          <w:rFonts w:ascii="Times New Roman" w:hAnsi="Times New Roman" w:cs="Times New Roman"/>
        </w:rPr>
      </w:pPr>
      <w:r w:rsidRPr="001741D4">
        <w:rPr>
          <w:rFonts w:ascii="Times New Roman" w:hAnsi="Times New Roman" w:cs="Times New Roman"/>
          <w:b/>
          <w:bCs/>
        </w:rPr>
        <w:t>Conclusion</w:t>
      </w:r>
    </w:p>
    <w:p w14:paraId="30EE8A93" w14:textId="63F2BB81" w:rsidR="00277376" w:rsidRPr="0009334C" w:rsidRDefault="00277376" w:rsidP="00277376">
      <w:pPr>
        <w:spacing w:line="480" w:lineRule="auto"/>
        <w:jc w:val="both"/>
        <w:rPr>
          <w:rFonts w:ascii="Times New Roman" w:hAnsi="Times New Roman" w:cs="Times New Roman"/>
          <w:b/>
          <w:bCs/>
        </w:rPr>
      </w:pPr>
      <w:r w:rsidRPr="001741D4">
        <w:rPr>
          <w:rFonts w:ascii="Times New Roman" w:hAnsi="Times New Roman" w:cs="Times New Roman"/>
        </w:rPr>
        <w:lastRenderedPageBreak/>
        <w:t xml:space="preserve">My role as an Assistant Coordinator for Center Management has significantly enriched my understanding of the ways in which student affairs theories can be applied in practical settings, guiding deliberate and thoughtful decision-making processes. Throughout my tenure, I have engaged in various activities that reflect key components of effective practice in the field of student affairs. </w:t>
      </w:r>
    </w:p>
    <w:p w14:paraId="4A4708C9"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 xml:space="preserve">These activities include facilitating active learning experiences that empower students, fostering character development through mentorship programs, and setting high expectations that challenge students to achieve their fullest potential. </w:t>
      </w:r>
    </w:p>
    <w:p w14:paraId="2228E9A1"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 xml:space="preserve">I have also been involved in systematic assessments to evaluate program effectiveness and inform resource allocation, ensuring that both financial and human resources are utilized efficiently. </w:t>
      </w:r>
    </w:p>
    <w:p w14:paraId="16977A77" w14:textId="77777777" w:rsidR="00277376" w:rsidRPr="001741D4" w:rsidRDefault="00277376" w:rsidP="00277376">
      <w:pPr>
        <w:spacing w:line="480" w:lineRule="auto"/>
        <w:jc w:val="both"/>
        <w:rPr>
          <w:rFonts w:ascii="Times New Roman" w:hAnsi="Times New Roman" w:cs="Times New Roman"/>
        </w:rPr>
      </w:pPr>
      <w:r w:rsidRPr="001741D4">
        <w:rPr>
          <w:rFonts w:ascii="Times New Roman" w:hAnsi="Times New Roman" w:cs="Times New Roman"/>
        </w:rPr>
        <w:t>Building partnerships has been a crucial aspect of my role, as I have worked collaboratively with faculty, student organizations, and community stakeholders to create a supportive and inclusive environment. I have strived to promote community development that is respectful of diverse perspectives and backgrounds, recognizing the importance of creating spaces where all students feel valued and included.</w:t>
      </w:r>
    </w:p>
    <w:p w14:paraId="6FFAAD39" w14:textId="77777777" w:rsidR="00733B2A" w:rsidRDefault="00277376" w:rsidP="00302B08">
      <w:pPr>
        <w:spacing w:line="480" w:lineRule="auto"/>
        <w:jc w:val="both"/>
        <w:rPr>
          <w:rFonts w:ascii="Times New Roman" w:hAnsi="Times New Roman" w:cs="Times New Roman"/>
        </w:rPr>
      </w:pPr>
      <w:r w:rsidRPr="001741D4">
        <w:rPr>
          <w:rFonts w:ascii="Times New Roman" w:hAnsi="Times New Roman" w:cs="Times New Roman"/>
        </w:rPr>
        <w:t>As I advance in the Higher Education and Student Affairs (HESA) program, I am eager to further refine these skills and practices. My journey has not only highlighted my growth as a student affairs professional but has also underscored the importance of aligning theory with practice. This alignment ensures that I remain adaptable and responsive to the ever-changing landscape of student affairs. I am committed to making meaningful contributions that support the holistic development of students, equipping them with the tools they need to succeed in their academic and personal lives.</w:t>
      </w:r>
    </w:p>
    <w:p w14:paraId="570FD0AD" w14:textId="7C4158F9" w:rsidR="00CF39C6" w:rsidRDefault="00CF39C6" w:rsidP="00302B08">
      <w:pPr>
        <w:spacing w:line="480" w:lineRule="auto"/>
        <w:jc w:val="both"/>
        <w:rPr>
          <w:rFonts w:ascii="Times New Roman" w:hAnsi="Times New Roman" w:cs="Times New Roman"/>
          <w:b/>
          <w:bCs/>
        </w:rPr>
      </w:pPr>
      <w:r w:rsidRPr="00CF39C6">
        <w:rPr>
          <w:rFonts w:ascii="Times New Roman" w:hAnsi="Times New Roman" w:cs="Times New Roman"/>
          <w:b/>
          <w:bCs/>
        </w:rPr>
        <w:lastRenderedPageBreak/>
        <w:t>Application of Scholarship to Practice - FINAL</w:t>
      </w:r>
    </w:p>
    <w:p w14:paraId="542AB1FA" w14:textId="2D4F522A" w:rsidR="00A77608" w:rsidRPr="00A776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Title: Connecting Scholarship to Practice: A Reflective Analysis of Graduate Assistantship in Residence Life</w:t>
      </w:r>
    </w:p>
    <w:p w14:paraId="470E8EF3" w14:textId="77777777" w:rsidR="003711C5"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Introduction</w:t>
      </w:r>
      <w:r w:rsidRPr="00A77608">
        <w:rPr>
          <w:rFonts w:ascii="Times New Roman" w:hAnsi="Times New Roman" w:cs="Times New Roman"/>
        </w:rPr>
        <w:t> </w:t>
      </w:r>
    </w:p>
    <w:p w14:paraId="79702192" w14:textId="67079533" w:rsidR="003711C5" w:rsidRPr="003711C5" w:rsidRDefault="003711C5" w:rsidP="00302B08">
      <w:pPr>
        <w:spacing w:line="480" w:lineRule="auto"/>
        <w:jc w:val="both"/>
        <w:rPr>
          <w:rFonts w:ascii="Times New Roman" w:hAnsi="Times New Roman" w:cs="Times New Roman"/>
        </w:rPr>
      </w:pPr>
      <w:r w:rsidRPr="003711C5">
        <w:rPr>
          <w:rFonts w:ascii="Times New Roman" w:hAnsi="Times New Roman" w:cs="Times New Roman"/>
        </w:rPr>
        <w:t xml:space="preserve">The field of student affairs is deeply rooted in a dedication to fostering holistic student development, underpinned by principles that prioritize student engagement, meaningful learning experiences, inclusivity, and collaborative efforts. As a graduate assistant (GA) in the Residence Life department at Indiana University Bloomington, I have been immersed in a vibrant and evolving environment that merges theoretical frameworks with practical application </w:t>
      </w:r>
      <w:r w:rsidRPr="00302B08">
        <w:rPr>
          <w:rFonts w:ascii="Times New Roman" w:hAnsi="Times New Roman" w:cs="Times New Roman"/>
        </w:rPr>
        <w:t>daily</w:t>
      </w:r>
      <w:r w:rsidRPr="003711C5">
        <w:rPr>
          <w:rFonts w:ascii="Times New Roman" w:hAnsi="Times New Roman" w:cs="Times New Roman"/>
        </w:rPr>
        <w:t>.</w:t>
      </w:r>
    </w:p>
    <w:p w14:paraId="6612D0E2" w14:textId="77777777" w:rsidR="003711C5" w:rsidRPr="003711C5" w:rsidRDefault="003711C5" w:rsidP="00302B08">
      <w:pPr>
        <w:spacing w:line="480" w:lineRule="auto"/>
        <w:jc w:val="both"/>
        <w:rPr>
          <w:rFonts w:ascii="Times New Roman" w:hAnsi="Times New Roman" w:cs="Times New Roman"/>
        </w:rPr>
      </w:pPr>
      <w:r w:rsidRPr="003711C5">
        <w:rPr>
          <w:rFonts w:ascii="Times New Roman" w:hAnsi="Times New Roman" w:cs="Times New Roman"/>
        </w:rPr>
        <w:t xml:space="preserve">In this paper, I will delve into how my responsibilities as a GA not only reflect the seven principles for good practice in student affairs as outlined by </w:t>
      </w:r>
      <w:proofErr w:type="spellStart"/>
      <w:r w:rsidRPr="003711C5">
        <w:rPr>
          <w:rFonts w:ascii="Times New Roman" w:hAnsi="Times New Roman" w:cs="Times New Roman"/>
        </w:rPr>
        <w:t>Blimling</w:t>
      </w:r>
      <w:proofErr w:type="spellEnd"/>
      <w:r w:rsidRPr="003711C5">
        <w:rPr>
          <w:rFonts w:ascii="Times New Roman" w:hAnsi="Times New Roman" w:cs="Times New Roman"/>
        </w:rPr>
        <w:t xml:space="preserve"> and Whitt (1999) but also how they serve as a bridge between my academic coursework and current scholarly literature. My role has involved overseeing community-building activities, facilitating workshops, and providing support to students navigating personal and academic challenges, all of which require a nuanced understanding of developmental theory and student needs.</w:t>
      </w:r>
    </w:p>
    <w:p w14:paraId="2743B328" w14:textId="3A6BF620" w:rsidR="003711C5" w:rsidRPr="00302B08" w:rsidRDefault="003711C5" w:rsidP="00302B08">
      <w:pPr>
        <w:spacing w:line="480" w:lineRule="auto"/>
        <w:jc w:val="both"/>
        <w:rPr>
          <w:rFonts w:ascii="Times New Roman" w:hAnsi="Times New Roman" w:cs="Times New Roman"/>
        </w:rPr>
      </w:pPr>
      <w:r w:rsidRPr="00302B08">
        <w:rPr>
          <w:rFonts w:ascii="Times New Roman" w:hAnsi="Times New Roman" w:cs="Times New Roman"/>
        </w:rPr>
        <w:t xml:space="preserve">Furthermore, I will reflect on my personal and professional growth during this assistantship, highlighting specific experiences that have shaped my understanding of student affairs. By integrating insights from organizational theory and student development literature, I aim to connect my practical experiences to the broader context of student affairs administration, demonstrating the significant impact of my work on both individual students and the campus </w:t>
      </w:r>
      <w:r w:rsidR="00302B08" w:rsidRPr="00302B08">
        <w:rPr>
          <w:rFonts w:ascii="Times New Roman" w:hAnsi="Times New Roman" w:cs="Times New Roman"/>
        </w:rPr>
        <w:t>community</w:t>
      </w:r>
      <w:r w:rsidRPr="00302B08">
        <w:rPr>
          <w:rFonts w:ascii="Times New Roman" w:hAnsi="Times New Roman" w:cs="Times New Roman"/>
        </w:rPr>
        <w:t>.</w:t>
      </w:r>
    </w:p>
    <w:p w14:paraId="6A7FA870" w14:textId="0D3C46C5" w:rsidR="003711C5"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Organizational Theory in Practice</w:t>
      </w:r>
      <w:r w:rsidRPr="00A77608">
        <w:rPr>
          <w:rFonts w:ascii="Times New Roman" w:hAnsi="Times New Roman" w:cs="Times New Roman"/>
        </w:rPr>
        <w:t> </w:t>
      </w:r>
    </w:p>
    <w:p w14:paraId="43D2C397" w14:textId="540F5012" w:rsidR="003711C5" w:rsidRPr="003711C5" w:rsidRDefault="003711C5" w:rsidP="00302B08">
      <w:pPr>
        <w:spacing w:line="480" w:lineRule="auto"/>
        <w:jc w:val="both"/>
        <w:rPr>
          <w:rFonts w:ascii="Times New Roman" w:hAnsi="Times New Roman" w:cs="Times New Roman"/>
        </w:rPr>
      </w:pPr>
      <w:r w:rsidRPr="003711C5">
        <w:rPr>
          <w:rFonts w:ascii="Times New Roman" w:hAnsi="Times New Roman" w:cs="Times New Roman"/>
        </w:rPr>
        <w:lastRenderedPageBreak/>
        <w:t>My work as a Graduate Assistant (GA) is significantly influenced by organizational theory, particularly the four frames model proposed by Bolman and Deal (2017). I often operate within the human resources frame, focusing on the direct supervision, training, and mentorship of Resident Assistants (RAs). By investing in the development of RAs, I build both their capacity and morale, while also aligning with the university's goals of student support and retention.</w:t>
      </w:r>
    </w:p>
    <w:p w14:paraId="044D7B9D" w14:textId="77777777" w:rsidR="003711C5" w:rsidRPr="00302B08" w:rsidRDefault="003711C5" w:rsidP="00302B08">
      <w:pPr>
        <w:spacing w:line="480" w:lineRule="auto"/>
        <w:jc w:val="both"/>
        <w:rPr>
          <w:rFonts w:ascii="Times New Roman" w:hAnsi="Times New Roman" w:cs="Times New Roman"/>
        </w:rPr>
      </w:pPr>
      <w:r w:rsidRPr="00302B08">
        <w:rPr>
          <w:rFonts w:ascii="Times New Roman" w:hAnsi="Times New Roman" w:cs="Times New Roman"/>
        </w:rPr>
        <w:t>Additionally, systems theory informs my understanding of how different departments interact. For instance, coordinating with facilities, dining services, and housing assignments requires me to view the residence hall as a subsystem within the larger institution. My role in resolving crises and supporting student wellness - as seen in CARE referrals - emphasizes the interdependence of various university units (</w:t>
      </w:r>
      <w:proofErr w:type="spellStart"/>
      <w:r w:rsidRPr="00302B08">
        <w:rPr>
          <w:rFonts w:ascii="Times New Roman" w:hAnsi="Times New Roman" w:cs="Times New Roman"/>
        </w:rPr>
        <w:t>Kezar</w:t>
      </w:r>
      <w:proofErr w:type="spellEnd"/>
      <w:r w:rsidRPr="00302B08">
        <w:rPr>
          <w:rFonts w:ascii="Times New Roman" w:hAnsi="Times New Roman" w:cs="Times New Roman"/>
        </w:rPr>
        <w:t>, 2001). These theories help me recognize that my work is not isolated but rather contributes to the overall effectiveness of the institution.</w:t>
      </w:r>
    </w:p>
    <w:p w14:paraId="2D547258" w14:textId="1A6DE095" w:rsidR="003711C5"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Engaging Students in Active Learning</w:t>
      </w:r>
      <w:r w:rsidRPr="00A77608">
        <w:rPr>
          <w:rFonts w:ascii="Times New Roman" w:hAnsi="Times New Roman" w:cs="Times New Roman"/>
        </w:rPr>
        <w:t> </w:t>
      </w:r>
    </w:p>
    <w:p w14:paraId="3BF212A6" w14:textId="77777777" w:rsidR="00CC4D69" w:rsidRPr="00CC4D69" w:rsidRDefault="00CC4D69" w:rsidP="00302B08">
      <w:pPr>
        <w:spacing w:line="480" w:lineRule="auto"/>
        <w:jc w:val="both"/>
        <w:rPr>
          <w:rFonts w:ascii="Times New Roman" w:hAnsi="Times New Roman" w:cs="Times New Roman"/>
        </w:rPr>
      </w:pPr>
      <w:r w:rsidRPr="00CC4D69">
        <w:rPr>
          <w:rFonts w:ascii="Times New Roman" w:hAnsi="Times New Roman" w:cs="Times New Roman"/>
        </w:rPr>
        <w:t>Active learning is a dynamic approach that encourages students to engage in meaningful activities and reflect on their experiences (</w:t>
      </w:r>
      <w:proofErr w:type="spellStart"/>
      <w:r w:rsidRPr="00CC4D69">
        <w:rPr>
          <w:rFonts w:ascii="Times New Roman" w:hAnsi="Times New Roman" w:cs="Times New Roman"/>
        </w:rPr>
        <w:t>Bonwell</w:t>
      </w:r>
      <w:proofErr w:type="spellEnd"/>
      <w:r w:rsidRPr="00CC4D69">
        <w:rPr>
          <w:rFonts w:ascii="Times New Roman" w:hAnsi="Times New Roman" w:cs="Times New Roman"/>
        </w:rPr>
        <w:t xml:space="preserve"> &amp; </w:t>
      </w:r>
      <w:proofErr w:type="spellStart"/>
      <w:r w:rsidRPr="00CC4D69">
        <w:rPr>
          <w:rFonts w:ascii="Times New Roman" w:hAnsi="Times New Roman" w:cs="Times New Roman"/>
        </w:rPr>
        <w:t>Eison</w:t>
      </w:r>
      <w:proofErr w:type="spellEnd"/>
      <w:r w:rsidRPr="00CC4D69">
        <w:rPr>
          <w:rFonts w:ascii="Times New Roman" w:hAnsi="Times New Roman" w:cs="Times New Roman"/>
        </w:rPr>
        <w:t>, 1991). In my role within Residence Life, I actively cultivate this approach through various initiatives, including event planning, leadership development, and personalized one-on-one interactions with residents.</w:t>
      </w:r>
    </w:p>
    <w:p w14:paraId="49833CAE" w14:textId="77777777" w:rsidR="00CC4D69" w:rsidRPr="00CC4D69" w:rsidRDefault="00CC4D69" w:rsidP="00302B08">
      <w:pPr>
        <w:spacing w:line="480" w:lineRule="auto"/>
        <w:jc w:val="both"/>
        <w:rPr>
          <w:rFonts w:ascii="Times New Roman" w:hAnsi="Times New Roman" w:cs="Times New Roman"/>
        </w:rPr>
      </w:pPr>
      <w:r w:rsidRPr="00CC4D69">
        <w:rPr>
          <w:rFonts w:ascii="Times New Roman" w:hAnsi="Times New Roman" w:cs="Times New Roman"/>
        </w:rPr>
        <w:t xml:space="preserve">I have successfully coordinated a variety of community-building programs which serve to strengthen the bonds among residents while promoting a sense of belonging. For example, I organized a cultural awareness event where students were invited to explore diverse backgrounds and experiences. To enhance this experience, I facilitated a workshop for Resident Advisers (RAs) during which they led a dialogue circle. This circle provided a safe space for students to engage in </w:t>
      </w:r>
      <w:r w:rsidRPr="00CC4D69">
        <w:rPr>
          <w:rFonts w:ascii="Times New Roman" w:hAnsi="Times New Roman" w:cs="Times New Roman"/>
        </w:rPr>
        <w:lastRenderedPageBreak/>
        <w:t xml:space="preserve">thoughtful discussion and reflection on identity-related topics, such as race, ethnicity, and cultural expression. </w:t>
      </w:r>
    </w:p>
    <w:p w14:paraId="7DA94BFB" w14:textId="77777777" w:rsidR="00CC4D69" w:rsidRPr="00302B08" w:rsidRDefault="00CC4D69" w:rsidP="00302B08">
      <w:pPr>
        <w:spacing w:line="480" w:lineRule="auto"/>
        <w:jc w:val="both"/>
        <w:rPr>
          <w:rFonts w:ascii="Times New Roman" w:hAnsi="Times New Roman" w:cs="Times New Roman"/>
        </w:rPr>
      </w:pPr>
      <w:r w:rsidRPr="00302B08">
        <w:rPr>
          <w:rFonts w:ascii="Times New Roman" w:hAnsi="Times New Roman" w:cs="Times New Roman"/>
        </w:rPr>
        <w:t>After each event, I prioritize the importance of reflection by guiding residents through a debriefing session, where we connect the activities to broader learning objectives and personal growth. This practice not only reinforces the lessons learned but also encourages deeper understanding and connections among the participants. My approach aligns closely with Kolb’s (1984) experiential learning theory, which highlights the importance of combining concrete experiences with reflective observation to foster holistic learning.</w:t>
      </w:r>
    </w:p>
    <w:p w14:paraId="3E35ECCE" w14:textId="5D6EC5DB" w:rsidR="003711C5"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Helping Students Develop Coherent Values and Ethical Standards</w:t>
      </w:r>
      <w:r w:rsidRPr="00A77608">
        <w:rPr>
          <w:rFonts w:ascii="Times New Roman" w:hAnsi="Times New Roman" w:cs="Times New Roman"/>
        </w:rPr>
        <w:t> </w:t>
      </w:r>
    </w:p>
    <w:p w14:paraId="5947703B" w14:textId="77777777" w:rsidR="00CC4D69" w:rsidRPr="00302B08" w:rsidRDefault="00CC4D69" w:rsidP="00302B08">
      <w:pPr>
        <w:spacing w:line="480" w:lineRule="auto"/>
        <w:jc w:val="both"/>
        <w:rPr>
          <w:rFonts w:ascii="Times New Roman" w:hAnsi="Times New Roman" w:cs="Times New Roman"/>
        </w:rPr>
      </w:pPr>
      <w:r w:rsidRPr="00302B08">
        <w:rPr>
          <w:rFonts w:ascii="Times New Roman" w:hAnsi="Times New Roman" w:cs="Times New Roman"/>
        </w:rPr>
        <w:t xml:space="preserve">I create opportunities for character development by conducting meetings and providing leadership advice. When mentoring student leaders, I incorporate ethical decision-making models, such as those proposed by Rest (1986). This approach encourages them to reflect on their values, consider the consequences of their actions, and think about the impact on the community. For example, I mentored a student leader who was facing peer pressure regarding programming decisions, guiding them to prioritize inclusion over popularity. Additionally, my support for Welcome Week includes discussions around community values and expectations, aligning with Chickering and </w:t>
      </w:r>
      <w:proofErr w:type="spellStart"/>
      <w:r w:rsidRPr="00302B08">
        <w:rPr>
          <w:rFonts w:ascii="Times New Roman" w:hAnsi="Times New Roman" w:cs="Times New Roman"/>
        </w:rPr>
        <w:t>Reisser’s</w:t>
      </w:r>
      <w:proofErr w:type="spellEnd"/>
      <w:r w:rsidRPr="00302B08">
        <w:rPr>
          <w:rFonts w:ascii="Times New Roman" w:hAnsi="Times New Roman" w:cs="Times New Roman"/>
        </w:rPr>
        <w:t xml:space="preserve"> (1993) vector of developing integrity.</w:t>
      </w:r>
    </w:p>
    <w:p w14:paraId="48049F26" w14:textId="6E3A9A89" w:rsidR="003711C5"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Setting and Communicating High Expectations for Learning</w:t>
      </w:r>
      <w:r w:rsidRPr="00A77608">
        <w:rPr>
          <w:rFonts w:ascii="Times New Roman" w:hAnsi="Times New Roman" w:cs="Times New Roman"/>
        </w:rPr>
        <w:t> </w:t>
      </w:r>
    </w:p>
    <w:p w14:paraId="1F358CAD" w14:textId="77777777" w:rsidR="00CC4D69" w:rsidRPr="00302B08" w:rsidRDefault="00CC4D69" w:rsidP="00302B08">
      <w:pPr>
        <w:spacing w:line="480" w:lineRule="auto"/>
        <w:jc w:val="both"/>
        <w:rPr>
          <w:rFonts w:ascii="Times New Roman" w:hAnsi="Times New Roman" w:cs="Times New Roman"/>
        </w:rPr>
      </w:pPr>
      <w:r w:rsidRPr="00302B08">
        <w:rPr>
          <w:rFonts w:ascii="Times New Roman" w:hAnsi="Times New Roman" w:cs="Times New Roman"/>
        </w:rPr>
        <w:t xml:space="preserve">Student learning extends beyond the classroom, and I intentionally reinforce high standards through residential assistant (RA) expectations and community norms. I use the residential curriculum framework (Brown et al., 2021) to communicate learning outcomes related to personal development, diversity, and well-being. During RA training, I emphasize the importance of setting </w:t>
      </w:r>
      <w:r w:rsidRPr="00302B08">
        <w:rPr>
          <w:rFonts w:ascii="Times New Roman" w:hAnsi="Times New Roman" w:cs="Times New Roman"/>
        </w:rPr>
        <w:lastRenderedPageBreak/>
        <w:t>goals with residents and holding them accountable for achieving those goals. For instance, I collaborated with an RA to design an academic accountability program specifically for residents on probation, integrating Sanford’s (1966) challenge-support theory.</w:t>
      </w:r>
    </w:p>
    <w:p w14:paraId="46A4CBD4" w14:textId="5532F6DE" w:rsidR="003711C5"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Using Systematic Inquiry to Improve Performance</w:t>
      </w:r>
      <w:r w:rsidRPr="00A77608">
        <w:rPr>
          <w:rFonts w:ascii="Times New Roman" w:hAnsi="Times New Roman" w:cs="Times New Roman"/>
        </w:rPr>
        <w:t> </w:t>
      </w:r>
    </w:p>
    <w:p w14:paraId="5E131CAB" w14:textId="77777777" w:rsidR="00CC4D69" w:rsidRPr="00302B08" w:rsidRDefault="00CC4D69" w:rsidP="00302B08">
      <w:pPr>
        <w:spacing w:line="480" w:lineRule="auto"/>
        <w:jc w:val="both"/>
        <w:rPr>
          <w:rFonts w:ascii="Times New Roman" w:hAnsi="Times New Roman" w:cs="Times New Roman"/>
        </w:rPr>
      </w:pPr>
      <w:r w:rsidRPr="00302B08">
        <w:rPr>
          <w:rFonts w:ascii="Times New Roman" w:hAnsi="Times New Roman" w:cs="Times New Roman"/>
        </w:rPr>
        <w:t xml:space="preserve">Assessment and inquiry are essential tools in my role. I gather feedback from Resident Assistants (RAs) through mid-semester evaluations, which helps inform updates to our training and enhances one-on-one coaching sessions. When addressing roommate conflicts, I identify recurring themes and work closely with the Residential Life leadership team to improve mediation training. This practice aligns with </w:t>
      </w:r>
      <w:proofErr w:type="spellStart"/>
      <w:r w:rsidRPr="00302B08">
        <w:rPr>
          <w:rFonts w:ascii="Times New Roman" w:hAnsi="Times New Roman" w:cs="Times New Roman"/>
        </w:rPr>
        <w:t>Bresciani</w:t>
      </w:r>
      <w:proofErr w:type="spellEnd"/>
      <w:r w:rsidRPr="00302B08">
        <w:rPr>
          <w:rFonts w:ascii="Times New Roman" w:hAnsi="Times New Roman" w:cs="Times New Roman"/>
        </w:rPr>
        <w:t xml:space="preserve"> et al.’s (2009) argument that data-driven decision-making enhances both student outcomes and institutional performance.</w:t>
      </w:r>
    </w:p>
    <w:p w14:paraId="32D6CCAD" w14:textId="70D95EB4" w:rsidR="003711C5"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Using Resources Effectively to Achieve Institutional Missions</w:t>
      </w:r>
      <w:r w:rsidRPr="00A77608">
        <w:rPr>
          <w:rFonts w:ascii="Times New Roman" w:hAnsi="Times New Roman" w:cs="Times New Roman"/>
        </w:rPr>
        <w:t> </w:t>
      </w:r>
    </w:p>
    <w:p w14:paraId="22F66E32" w14:textId="77777777" w:rsidR="00CC4D69" w:rsidRPr="00302B08" w:rsidRDefault="00CC4D69" w:rsidP="00302B08">
      <w:pPr>
        <w:spacing w:line="480" w:lineRule="auto"/>
        <w:jc w:val="both"/>
        <w:rPr>
          <w:rFonts w:ascii="Times New Roman" w:hAnsi="Times New Roman" w:cs="Times New Roman"/>
        </w:rPr>
      </w:pPr>
      <w:r w:rsidRPr="00302B08">
        <w:rPr>
          <w:rFonts w:ascii="Times New Roman" w:hAnsi="Times New Roman" w:cs="Times New Roman"/>
        </w:rPr>
        <w:t>Institutional goals guide how I allocate my time and attention. For example, Indiana University's mission to support diverse learners informs my involvement in inclusion-based programming. I prioritized co-hosting an LGBTQ+ allyship workshop, which aligned with the division-wide diversity goals. Additionally, I collaborated with the custodial staff to improve move-in logistics, ensuring that physical resources were in line with the institutional priorities of access and hospitality.</w:t>
      </w:r>
    </w:p>
    <w:p w14:paraId="69DA5D8D" w14:textId="77777777" w:rsidR="00CC4D69"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Forging Educational Partnerships That Advance Student Learning</w:t>
      </w:r>
      <w:r w:rsidRPr="00A77608">
        <w:rPr>
          <w:rFonts w:ascii="Times New Roman" w:hAnsi="Times New Roman" w:cs="Times New Roman"/>
        </w:rPr>
        <w:t> </w:t>
      </w:r>
    </w:p>
    <w:p w14:paraId="387ACD56" w14:textId="77777777" w:rsidR="00CC4D69" w:rsidRPr="00302B08" w:rsidRDefault="00CC4D69" w:rsidP="00302B08">
      <w:pPr>
        <w:spacing w:line="480" w:lineRule="auto"/>
        <w:jc w:val="both"/>
        <w:rPr>
          <w:rFonts w:ascii="Times New Roman" w:hAnsi="Times New Roman" w:cs="Times New Roman"/>
        </w:rPr>
      </w:pPr>
      <w:r w:rsidRPr="00302B08">
        <w:rPr>
          <w:rFonts w:ascii="Times New Roman" w:hAnsi="Times New Roman" w:cs="Times New Roman"/>
        </w:rPr>
        <w:t xml:space="preserve">Creating seamless learning environments is fundamental to my approach. I have worked with the Office of International Services to assist new Ghanaian and African students in the residence halls, aligning their adjustment experiences with cultural awareness programs. Additionally, I partnered with faculty-in-residence to organize study nights and skill-building workshops that integrate </w:t>
      </w:r>
      <w:r w:rsidRPr="00302B08">
        <w:rPr>
          <w:rFonts w:ascii="Times New Roman" w:hAnsi="Times New Roman" w:cs="Times New Roman"/>
        </w:rPr>
        <w:lastRenderedPageBreak/>
        <w:t xml:space="preserve">academic and co-curricular learning. These initiatives reflect </w:t>
      </w:r>
      <w:proofErr w:type="spellStart"/>
      <w:r w:rsidRPr="00302B08">
        <w:rPr>
          <w:rFonts w:ascii="Times New Roman" w:hAnsi="Times New Roman" w:cs="Times New Roman"/>
        </w:rPr>
        <w:t>Kuh’s</w:t>
      </w:r>
      <w:proofErr w:type="spellEnd"/>
      <w:r w:rsidRPr="00302B08">
        <w:rPr>
          <w:rFonts w:ascii="Times New Roman" w:hAnsi="Times New Roman" w:cs="Times New Roman"/>
        </w:rPr>
        <w:t xml:space="preserve"> (1996) concept of seamless learning environments that foster engagement.</w:t>
      </w:r>
    </w:p>
    <w:p w14:paraId="388F4892" w14:textId="77777777" w:rsidR="00CC4D69"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Building Supportive and Inclusive Communities</w:t>
      </w:r>
      <w:r w:rsidRPr="00A77608">
        <w:rPr>
          <w:rFonts w:ascii="Times New Roman" w:hAnsi="Times New Roman" w:cs="Times New Roman"/>
        </w:rPr>
        <w:t> </w:t>
      </w:r>
    </w:p>
    <w:p w14:paraId="27D2C315" w14:textId="77777777" w:rsidR="00CC4D69" w:rsidRPr="00302B08" w:rsidRDefault="00CC4D69" w:rsidP="00302B08">
      <w:pPr>
        <w:spacing w:line="480" w:lineRule="auto"/>
        <w:jc w:val="both"/>
        <w:rPr>
          <w:rFonts w:ascii="Times New Roman" w:hAnsi="Times New Roman" w:cs="Times New Roman"/>
        </w:rPr>
      </w:pPr>
      <w:r w:rsidRPr="00302B08">
        <w:rPr>
          <w:rFonts w:ascii="Times New Roman" w:hAnsi="Times New Roman" w:cs="Times New Roman"/>
        </w:rPr>
        <w:t>Inclusion means ensuring that every student feels welcomed and valued (Patton et al., 2016). My strategies for promoting inclusion include intentionally hiring resident advisors (RAs), implementing culturally responsive programming, and creating identity-affirming spaces. For example, I supported a student who was navigating a cultural transition by referring them to campus identity centers and regularly checking in with them. Drawing from my own experiences as a Ghanaian international student, I strive to bridge gaps and foster empathy within residence halls. These efforts contribute to building a community that aligns with Hurtado et al.'s (1999) framework for an inclusive campus climate.</w:t>
      </w:r>
    </w:p>
    <w:p w14:paraId="6B9B9A5A" w14:textId="27A609CD" w:rsidR="003711C5"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Reflection of Growth and Understanding</w:t>
      </w:r>
      <w:r w:rsidRPr="00A77608">
        <w:rPr>
          <w:rFonts w:ascii="Times New Roman" w:hAnsi="Times New Roman" w:cs="Times New Roman"/>
        </w:rPr>
        <w:t> </w:t>
      </w:r>
    </w:p>
    <w:p w14:paraId="59EB1670" w14:textId="77777777" w:rsidR="00302B08" w:rsidRPr="00302B08" w:rsidRDefault="00302B08" w:rsidP="00302B08">
      <w:pPr>
        <w:spacing w:line="480" w:lineRule="auto"/>
        <w:jc w:val="both"/>
        <w:rPr>
          <w:rFonts w:ascii="Times New Roman" w:hAnsi="Times New Roman" w:cs="Times New Roman"/>
        </w:rPr>
      </w:pPr>
      <w:r w:rsidRPr="00302B08">
        <w:rPr>
          <w:rFonts w:ascii="Times New Roman" w:hAnsi="Times New Roman" w:cs="Times New Roman"/>
        </w:rPr>
        <w:t>Throughout this academic year, I have experienced significant growth in various dimensions of my life. On the professional front, I have cultivated essential skills such as leadership, crisis management, and effective interpersonal communication. My role as a supervisor for Resident Assistants (RAs) provided me with firsthand experience in guiding a diverse team, allowing me to develop my ability to think critically and respond to emergencies with a compassionate mindset. This role not only taught me the importance of quick decision-making under pressure but also emphasized the value of empathy in moments of crisis.</w:t>
      </w:r>
    </w:p>
    <w:p w14:paraId="6FD414EB" w14:textId="77777777" w:rsidR="00302B08" w:rsidRPr="00302B08" w:rsidRDefault="00302B08" w:rsidP="00302B08">
      <w:pPr>
        <w:spacing w:line="480" w:lineRule="auto"/>
        <w:jc w:val="both"/>
        <w:rPr>
          <w:rFonts w:ascii="Times New Roman" w:hAnsi="Times New Roman" w:cs="Times New Roman"/>
        </w:rPr>
      </w:pPr>
      <w:r w:rsidRPr="00302B08">
        <w:rPr>
          <w:rFonts w:ascii="Times New Roman" w:hAnsi="Times New Roman" w:cs="Times New Roman"/>
        </w:rPr>
        <w:t xml:space="preserve">On a personal level, I have experienced a profound increase in self-confidence and cultural humility, especially as I adapted to a new environment in the United States while proudly affirming </w:t>
      </w:r>
      <w:r w:rsidRPr="00302B08">
        <w:rPr>
          <w:rFonts w:ascii="Times New Roman" w:hAnsi="Times New Roman" w:cs="Times New Roman"/>
        </w:rPr>
        <w:lastRenderedPageBreak/>
        <w:t>my Ghanaian identity. This transition challenged me to embrace dual aspects of my identity and to navigate cultural differences with sensitivity and openness.</w:t>
      </w:r>
    </w:p>
    <w:p w14:paraId="6BA07B9E" w14:textId="77777777" w:rsidR="00302B08" w:rsidRPr="00302B08" w:rsidRDefault="00302B08" w:rsidP="00302B08">
      <w:pPr>
        <w:spacing w:line="480" w:lineRule="auto"/>
        <w:jc w:val="both"/>
        <w:rPr>
          <w:rFonts w:ascii="Times New Roman" w:hAnsi="Times New Roman" w:cs="Times New Roman"/>
        </w:rPr>
      </w:pPr>
      <w:r w:rsidRPr="00302B08">
        <w:rPr>
          <w:rFonts w:ascii="Times New Roman" w:hAnsi="Times New Roman" w:cs="Times New Roman"/>
        </w:rPr>
        <w:t>The insights I gained from course readings have been invaluable in shaping my perspective. For instance, Jones and Stewart's (2016) exploration of racial identity within student affairs illuminated how my own experiences could serve as vital resources rather than obstacles. This understanding has empowered me to engage more fully in conversations about race and identity.</w:t>
      </w:r>
    </w:p>
    <w:p w14:paraId="298436AA" w14:textId="77777777" w:rsidR="00302B08" w:rsidRPr="00302B08" w:rsidRDefault="00302B08" w:rsidP="00302B08">
      <w:pPr>
        <w:spacing w:line="480" w:lineRule="auto"/>
        <w:jc w:val="both"/>
        <w:rPr>
          <w:rFonts w:ascii="Times New Roman" w:hAnsi="Times New Roman" w:cs="Times New Roman"/>
        </w:rPr>
      </w:pPr>
      <w:r w:rsidRPr="00302B08">
        <w:rPr>
          <w:rFonts w:ascii="Times New Roman" w:hAnsi="Times New Roman" w:cs="Times New Roman"/>
        </w:rPr>
        <w:t>Additionally, I have made strides in my ability to manage conflict, lead productive team meetings, and foster cross-cultural understanding among my peers. By learning effective communication strategies, I have been able to bridge gaps between different cultural perspectives, creating a more inclusive environment for collaboration.</w:t>
      </w:r>
    </w:p>
    <w:p w14:paraId="34822574" w14:textId="77777777" w:rsidR="00302B08" w:rsidRPr="00302B08" w:rsidRDefault="00302B08" w:rsidP="00302B08">
      <w:pPr>
        <w:spacing w:line="480" w:lineRule="auto"/>
        <w:jc w:val="both"/>
        <w:rPr>
          <w:rFonts w:ascii="Times New Roman" w:hAnsi="Times New Roman" w:cs="Times New Roman"/>
        </w:rPr>
      </w:pPr>
      <w:r w:rsidRPr="00302B08">
        <w:rPr>
          <w:rFonts w:ascii="Times New Roman" w:hAnsi="Times New Roman" w:cs="Times New Roman"/>
        </w:rPr>
        <w:t xml:space="preserve">Moreover, Baxter </w:t>
      </w:r>
      <w:proofErr w:type="spellStart"/>
      <w:r w:rsidRPr="00302B08">
        <w:rPr>
          <w:rFonts w:ascii="Times New Roman" w:hAnsi="Times New Roman" w:cs="Times New Roman"/>
        </w:rPr>
        <w:t>Magolda's</w:t>
      </w:r>
      <w:proofErr w:type="spellEnd"/>
      <w:r w:rsidRPr="00302B08">
        <w:rPr>
          <w:rFonts w:ascii="Times New Roman" w:hAnsi="Times New Roman" w:cs="Times New Roman"/>
        </w:rPr>
        <w:t xml:space="preserve"> (2004) theory of self-authorship has deeply resonated with my personal journey. It has inspired me to reflect on my values, beliefs, and aspirations, guiding me as I carve out a professional path that aligns with my authentic self. This process of self-discovery has underscored the importance of defining my own goals and staying true to my principles as I move forward in my career.</w:t>
      </w:r>
    </w:p>
    <w:p w14:paraId="21AD7200" w14:textId="668C6EC3" w:rsidR="003711C5"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Integration of Coursework and Position</w:t>
      </w:r>
      <w:r w:rsidRPr="00A77608">
        <w:rPr>
          <w:rFonts w:ascii="Times New Roman" w:hAnsi="Times New Roman" w:cs="Times New Roman"/>
        </w:rPr>
        <w:t> </w:t>
      </w:r>
    </w:p>
    <w:p w14:paraId="236B35D3" w14:textId="77777777" w:rsidR="00302B08" w:rsidRPr="00302B08" w:rsidRDefault="00302B08" w:rsidP="00302B08">
      <w:pPr>
        <w:spacing w:line="480" w:lineRule="auto"/>
        <w:jc w:val="both"/>
        <w:rPr>
          <w:rFonts w:ascii="Times New Roman" w:hAnsi="Times New Roman" w:cs="Times New Roman"/>
        </w:rPr>
      </w:pPr>
      <w:r w:rsidRPr="00302B08">
        <w:rPr>
          <w:rFonts w:ascii="Times New Roman" w:hAnsi="Times New Roman" w:cs="Times New Roman"/>
        </w:rPr>
        <w:t>My assistantship has served as a practical setting for applying student affairs literature. In my studies of Student Development Theory, I explored Schlossberg’s Transition Theory (1984), which I now use to support first-year students as they adjust to residence life. My</w:t>
      </w:r>
    </w:p>
    <w:p w14:paraId="6FB3D795" w14:textId="2E984A68" w:rsidR="00302B08" w:rsidRPr="00302B08" w:rsidRDefault="00302B08" w:rsidP="00302B08">
      <w:pPr>
        <w:spacing w:line="480" w:lineRule="auto"/>
        <w:jc w:val="both"/>
        <w:rPr>
          <w:rFonts w:ascii="Times New Roman" w:hAnsi="Times New Roman" w:cs="Times New Roman"/>
        </w:rPr>
      </w:pPr>
      <w:r w:rsidRPr="00302B08">
        <w:rPr>
          <w:rFonts w:ascii="Times New Roman" w:hAnsi="Times New Roman" w:cs="Times New Roman"/>
        </w:rPr>
        <w:t>coursework in Organizational Theory has informed the way I establish systems of communication with custodial and dining staff.</w:t>
      </w:r>
    </w:p>
    <w:p w14:paraId="10EF9048" w14:textId="77777777" w:rsidR="00302B08" w:rsidRPr="00302B08" w:rsidRDefault="00302B08" w:rsidP="00302B08">
      <w:pPr>
        <w:spacing w:line="480" w:lineRule="auto"/>
        <w:jc w:val="both"/>
        <w:rPr>
          <w:rFonts w:ascii="Times New Roman" w:hAnsi="Times New Roman" w:cs="Times New Roman"/>
        </w:rPr>
      </w:pPr>
      <w:r w:rsidRPr="00302B08">
        <w:rPr>
          <w:rFonts w:ascii="Times New Roman" w:hAnsi="Times New Roman" w:cs="Times New Roman"/>
        </w:rPr>
        <w:lastRenderedPageBreak/>
        <w:t>In my Higher Education Curriculum class, I utilized the co-curricular learning model (Keeling, 2006) to design intentional programs focused on academic success. From the Foundations course, I gained insight into the historical context of equity in education, which informs my inclusive practices. Across all my courses, the ACPA/NASPA (2015) professional competencies have guided my approach to assessment, advising, and social justice.</w:t>
      </w:r>
    </w:p>
    <w:p w14:paraId="0910CC9D" w14:textId="77777777" w:rsidR="00302B08" w:rsidRPr="00302B08" w:rsidRDefault="00A77608" w:rsidP="00302B08">
      <w:pPr>
        <w:spacing w:line="480" w:lineRule="auto"/>
        <w:jc w:val="both"/>
        <w:rPr>
          <w:rFonts w:ascii="Times New Roman" w:hAnsi="Times New Roman" w:cs="Times New Roman"/>
        </w:rPr>
      </w:pPr>
      <w:r w:rsidRPr="00A77608">
        <w:rPr>
          <w:rFonts w:ascii="Times New Roman" w:hAnsi="Times New Roman" w:cs="Times New Roman"/>
          <w:b/>
          <w:bCs/>
        </w:rPr>
        <w:t>Conclusion</w:t>
      </w:r>
      <w:r w:rsidRPr="00A77608">
        <w:rPr>
          <w:rFonts w:ascii="Times New Roman" w:hAnsi="Times New Roman" w:cs="Times New Roman"/>
        </w:rPr>
        <w:t> </w:t>
      </w:r>
    </w:p>
    <w:p w14:paraId="5F41B07F" w14:textId="562E9620" w:rsidR="003711C5" w:rsidRPr="00302B08" w:rsidRDefault="00302B08" w:rsidP="00302B08">
      <w:pPr>
        <w:spacing w:line="480" w:lineRule="auto"/>
        <w:jc w:val="both"/>
        <w:rPr>
          <w:rFonts w:ascii="Times New Roman" w:hAnsi="Times New Roman" w:cs="Times New Roman"/>
          <w:b/>
          <w:bCs/>
        </w:rPr>
      </w:pPr>
      <w:r w:rsidRPr="00302B08">
        <w:rPr>
          <w:rFonts w:ascii="Times New Roman" w:hAnsi="Times New Roman" w:cs="Times New Roman"/>
        </w:rPr>
        <w:t>This final paper explores how my assistantship has been an important opportunity for meaningful learning, where theoretical concepts come to life through practical application. My growth as a student affairs professional is shaped by a combination of literature, mentorship, and intentional reflection. The principles of good practice act as both a mirror and a roadmap, highlighting my successes while guiding me toward further development. As I look to the future, I am dedicated to using these foundations to support diverse student populations, enhance institutional goals, and promote inclusive and ethical learning environments.</w:t>
      </w:r>
    </w:p>
    <w:p w14:paraId="4E4AEBFA" w14:textId="77777777" w:rsidR="003711C5" w:rsidRDefault="003711C5" w:rsidP="00A77608">
      <w:pPr>
        <w:rPr>
          <w:b/>
          <w:bCs/>
        </w:rPr>
      </w:pPr>
    </w:p>
    <w:p w14:paraId="148A1672" w14:textId="77777777" w:rsidR="003711C5" w:rsidRDefault="003711C5" w:rsidP="00A77608">
      <w:pPr>
        <w:rPr>
          <w:b/>
          <w:bCs/>
        </w:rPr>
      </w:pPr>
    </w:p>
    <w:p w14:paraId="5DB0269E" w14:textId="77777777" w:rsidR="003711C5" w:rsidRDefault="003711C5" w:rsidP="00A77608">
      <w:pPr>
        <w:rPr>
          <w:b/>
          <w:bCs/>
        </w:rPr>
      </w:pPr>
    </w:p>
    <w:p w14:paraId="5D27A423" w14:textId="77777777" w:rsidR="003711C5" w:rsidRDefault="003711C5" w:rsidP="00A77608">
      <w:pPr>
        <w:rPr>
          <w:b/>
          <w:bCs/>
        </w:rPr>
      </w:pPr>
    </w:p>
    <w:p w14:paraId="63C65D46" w14:textId="77777777" w:rsidR="003711C5" w:rsidRDefault="003711C5" w:rsidP="00A77608">
      <w:pPr>
        <w:rPr>
          <w:b/>
          <w:bCs/>
        </w:rPr>
      </w:pPr>
    </w:p>
    <w:p w14:paraId="199E1DCE" w14:textId="77777777" w:rsidR="003711C5" w:rsidRDefault="003711C5" w:rsidP="00A77608">
      <w:pPr>
        <w:rPr>
          <w:b/>
          <w:bCs/>
        </w:rPr>
      </w:pPr>
    </w:p>
    <w:p w14:paraId="6F03C844" w14:textId="77777777" w:rsidR="003711C5" w:rsidRDefault="003711C5" w:rsidP="00A77608">
      <w:pPr>
        <w:rPr>
          <w:b/>
          <w:bCs/>
        </w:rPr>
      </w:pPr>
    </w:p>
    <w:p w14:paraId="0B8245E6" w14:textId="77777777" w:rsidR="003711C5" w:rsidRDefault="003711C5" w:rsidP="00A77608">
      <w:pPr>
        <w:rPr>
          <w:b/>
          <w:bCs/>
        </w:rPr>
      </w:pPr>
    </w:p>
    <w:p w14:paraId="301EAA4D" w14:textId="77777777" w:rsidR="003711C5" w:rsidRDefault="003711C5" w:rsidP="00A77608">
      <w:pPr>
        <w:rPr>
          <w:b/>
          <w:bCs/>
        </w:rPr>
      </w:pPr>
    </w:p>
    <w:p w14:paraId="4EA963C6" w14:textId="77777777" w:rsidR="003711C5" w:rsidRDefault="003711C5" w:rsidP="00A77608">
      <w:pPr>
        <w:rPr>
          <w:b/>
          <w:bCs/>
        </w:rPr>
      </w:pPr>
    </w:p>
    <w:p w14:paraId="577FBEA3" w14:textId="77777777" w:rsidR="00E80B79" w:rsidRDefault="00E80B79" w:rsidP="006D660E">
      <w:pPr>
        <w:spacing w:line="480" w:lineRule="auto"/>
        <w:jc w:val="both"/>
        <w:rPr>
          <w:b/>
          <w:bCs/>
        </w:rPr>
      </w:pPr>
    </w:p>
    <w:p w14:paraId="590AF366" w14:textId="323C89D0" w:rsidR="004D7347" w:rsidRPr="004D7347" w:rsidRDefault="004D7347" w:rsidP="006D660E">
      <w:pPr>
        <w:spacing w:line="480" w:lineRule="auto"/>
        <w:jc w:val="both"/>
        <w:rPr>
          <w:rFonts w:ascii="Times New Roman" w:hAnsi="Times New Roman" w:cs="Times New Roman"/>
          <w:b/>
          <w:bCs/>
        </w:rPr>
      </w:pPr>
      <w:r w:rsidRPr="004D7347">
        <w:rPr>
          <w:rFonts w:ascii="Times New Roman" w:hAnsi="Times New Roman" w:cs="Times New Roman"/>
          <w:b/>
          <w:bCs/>
        </w:rPr>
        <w:lastRenderedPageBreak/>
        <w:t>References</w:t>
      </w:r>
    </w:p>
    <w:p w14:paraId="7C7E95A3" w14:textId="4E6A2499"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ACPA &amp; NASPA. (2015). </w:t>
      </w:r>
      <w:r w:rsidRPr="00957780">
        <w:rPr>
          <w:rFonts w:ascii="Times New Roman" w:hAnsi="Times New Roman" w:cs="Times New Roman"/>
          <w:i/>
          <w:iCs/>
        </w:rPr>
        <w:t>Professional competency areas for student affairs educators</w:t>
      </w:r>
      <w:r w:rsidRPr="00957780">
        <w:rPr>
          <w:rFonts w:ascii="Times New Roman" w:hAnsi="Times New Roman" w:cs="Times New Roman"/>
        </w:rPr>
        <w:t>. https://www.naspa.org/images/uploads/main/Professional_Competency_Areas.pdf</w:t>
      </w:r>
    </w:p>
    <w:p w14:paraId="1F3F8C52" w14:textId="77777777" w:rsidR="008A4DBD" w:rsidRPr="00957780" w:rsidRDefault="008A4DBD" w:rsidP="008A4DBD">
      <w:pPr>
        <w:spacing w:line="480" w:lineRule="auto"/>
        <w:ind w:left="720" w:hanging="720"/>
        <w:jc w:val="both"/>
        <w:rPr>
          <w:rFonts w:ascii="Times New Roman" w:hAnsi="Times New Roman" w:cs="Times New Roman"/>
        </w:rPr>
      </w:pPr>
      <w:proofErr w:type="spellStart"/>
      <w:r w:rsidRPr="00957780">
        <w:rPr>
          <w:rFonts w:ascii="Times New Roman" w:hAnsi="Times New Roman" w:cs="Times New Roman"/>
        </w:rPr>
        <w:t>Astin</w:t>
      </w:r>
      <w:proofErr w:type="spellEnd"/>
      <w:r w:rsidRPr="00957780">
        <w:rPr>
          <w:rFonts w:ascii="Times New Roman" w:hAnsi="Times New Roman" w:cs="Times New Roman"/>
        </w:rPr>
        <w:t>, A. W. (1984). Student involvement: A developmental theory for higher education. </w:t>
      </w:r>
      <w:r w:rsidRPr="00957780">
        <w:rPr>
          <w:rFonts w:ascii="Times New Roman" w:hAnsi="Times New Roman" w:cs="Times New Roman"/>
          <w:i/>
          <w:iCs/>
        </w:rPr>
        <w:t>Journal of College Student Personnel, 25</w:t>
      </w:r>
      <w:r w:rsidRPr="00957780">
        <w:rPr>
          <w:rFonts w:ascii="Times New Roman" w:hAnsi="Times New Roman" w:cs="Times New Roman"/>
        </w:rPr>
        <w:t>(4), 297–308.</w:t>
      </w:r>
    </w:p>
    <w:p w14:paraId="63F6F43D"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Banta, T. W., &amp; Associates. (2002). </w:t>
      </w:r>
      <w:r w:rsidRPr="00957780">
        <w:rPr>
          <w:rFonts w:ascii="Times New Roman" w:hAnsi="Times New Roman" w:cs="Times New Roman"/>
          <w:i/>
          <w:iCs/>
        </w:rPr>
        <w:t>Building a scholarship of assessment</w:t>
      </w:r>
      <w:r w:rsidRPr="00957780">
        <w:rPr>
          <w:rFonts w:ascii="Times New Roman" w:hAnsi="Times New Roman" w:cs="Times New Roman"/>
        </w:rPr>
        <w:t>. Jossey-Bass.</w:t>
      </w:r>
    </w:p>
    <w:p w14:paraId="1404A8D2"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 xml:space="preserve">Baxter </w:t>
      </w:r>
      <w:proofErr w:type="spellStart"/>
      <w:r w:rsidRPr="00957780">
        <w:rPr>
          <w:rFonts w:ascii="Times New Roman" w:hAnsi="Times New Roman" w:cs="Times New Roman"/>
        </w:rPr>
        <w:t>Magolda</w:t>
      </w:r>
      <w:proofErr w:type="spellEnd"/>
      <w:r w:rsidRPr="00957780">
        <w:rPr>
          <w:rFonts w:ascii="Times New Roman" w:hAnsi="Times New Roman" w:cs="Times New Roman"/>
        </w:rPr>
        <w:t>, M. B. (2004). Learning partnerships model: A framework for promoting self-authorship. </w:t>
      </w:r>
      <w:r w:rsidRPr="00957780">
        <w:rPr>
          <w:rFonts w:ascii="Times New Roman" w:hAnsi="Times New Roman" w:cs="Times New Roman"/>
          <w:i/>
          <w:iCs/>
        </w:rPr>
        <w:t>About Campus, 9</w:t>
      </w:r>
      <w:r w:rsidRPr="00957780">
        <w:rPr>
          <w:rFonts w:ascii="Times New Roman" w:hAnsi="Times New Roman" w:cs="Times New Roman"/>
        </w:rPr>
        <w:t>(3), 2–8. https://doi.org/10.1002/abc.103</w:t>
      </w:r>
    </w:p>
    <w:p w14:paraId="11CD3FE8"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Bess, J. L., &amp; Dee, J. R. (2012). </w:t>
      </w:r>
      <w:r w:rsidRPr="00957780">
        <w:rPr>
          <w:rFonts w:ascii="Times New Roman" w:hAnsi="Times New Roman" w:cs="Times New Roman"/>
          <w:i/>
          <w:iCs/>
        </w:rPr>
        <w:t>Understanding college and university organization: Theories for effective policy and practice</w:t>
      </w:r>
      <w:r w:rsidRPr="00957780">
        <w:rPr>
          <w:rFonts w:ascii="Times New Roman" w:hAnsi="Times New Roman" w:cs="Times New Roman"/>
        </w:rPr>
        <w:t>. Stylus Publishing.</w:t>
      </w:r>
    </w:p>
    <w:p w14:paraId="0A1962EE"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Birnbaum, R. (1988). </w:t>
      </w:r>
      <w:r w:rsidRPr="00957780">
        <w:rPr>
          <w:rFonts w:ascii="Times New Roman" w:hAnsi="Times New Roman" w:cs="Times New Roman"/>
          <w:i/>
          <w:iCs/>
        </w:rPr>
        <w:t>How colleges work: The cybernetics of academic organization and leadership</w:t>
      </w:r>
      <w:r w:rsidRPr="00957780">
        <w:rPr>
          <w:rFonts w:ascii="Times New Roman" w:hAnsi="Times New Roman" w:cs="Times New Roman"/>
        </w:rPr>
        <w:t>. Jossey-Bass.</w:t>
      </w:r>
    </w:p>
    <w:p w14:paraId="0AF4E80E" w14:textId="77777777" w:rsidR="008A4DBD" w:rsidRPr="00957780" w:rsidRDefault="008A4DBD" w:rsidP="008A4DBD">
      <w:pPr>
        <w:spacing w:line="480" w:lineRule="auto"/>
        <w:ind w:left="720" w:hanging="720"/>
        <w:jc w:val="both"/>
        <w:rPr>
          <w:rFonts w:ascii="Times New Roman" w:hAnsi="Times New Roman" w:cs="Times New Roman"/>
        </w:rPr>
      </w:pPr>
      <w:proofErr w:type="spellStart"/>
      <w:r w:rsidRPr="00957780">
        <w:rPr>
          <w:rFonts w:ascii="Times New Roman" w:hAnsi="Times New Roman" w:cs="Times New Roman"/>
        </w:rPr>
        <w:t>Blimling</w:t>
      </w:r>
      <w:proofErr w:type="spellEnd"/>
      <w:r w:rsidRPr="00957780">
        <w:rPr>
          <w:rFonts w:ascii="Times New Roman" w:hAnsi="Times New Roman" w:cs="Times New Roman"/>
        </w:rPr>
        <w:t>, G. S., &amp; Whitt, E. J. (Eds.). (1999). </w:t>
      </w:r>
      <w:r w:rsidRPr="00957780">
        <w:rPr>
          <w:rFonts w:ascii="Times New Roman" w:hAnsi="Times New Roman" w:cs="Times New Roman"/>
          <w:i/>
          <w:iCs/>
        </w:rPr>
        <w:t>Good practice in student affairs: Principles to foster student learning</w:t>
      </w:r>
      <w:r w:rsidRPr="00957780">
        <w:rPr>
          <w:rFonts w:ascii="Times New Roman" w:hAnsi="Times New Roman" w:cs="Times New Roman"/>
        </w:rPr>
        <w:t>. Jossey-Bass.</w:t>
      </w:r>
    </w:p>
    <w:p w14:paraId="70771F46"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Bolman, L. G., &amp; Deal, T. E. (2017). </w:t>
      </w:r>
      <w:r w:rsidRPr="00957780">
        <w:rPr>
          <w:rFonts w:ascii="Times New Roman" w:hAnsi="Times New Roman" w:cs="Times New Roman"/>
          <w:i/>
          <w:iCs/>
        </w:rPr>
        <w:t>Reframing organizations: Artistry, choice, and leadership</w:t>
      </w:r>
      <w:r w:rsidRPr="00957780">
        <w:rPr>
          <w:rFonts w:ascii="Times New Roman" w:hAnsi="Times New Roman" w:cs="Times New Roman"/>
        </w:rPr>
        <w:t> (6th ed.). Jossey-Bass.</w:t>
      </w:r>
    </w:p>
    <w:p w14:paraId="24F7B77E" w14:textId="77777777" w:rsidR="008A4DBD" w:rsidRPr="00957780" w:rsidRDefault="008A4DBD" w:rsidP="008A4DBD">
      <w:pPr>
        <w:spacing w:line="480" w:lineRule="auto"/>
        <w:ind w:left="720" w:hanging="720"/>
        <w:jc w:val="both"/>
        <w:rPr>
          <w:rFonts w:ascii="Times New Roman" w:hAnsi="Times New Roman" w:cs="Times New Roman"/>
        </w:rPr>
      </w:pPr>
      <w:proofErr w:type="spellStart"/>
      <w:r w:rsidRPr="00957780">
        <w:rPr>
          <w:rFonts w:ascii="Times New Roman" w:hAnsi="Times New Roman" w:cs="Times New Roman"/>
        </w:rPr>
        <w:t>Bonwell</w:t>
      </w:r>
      <w:proofErr w:type="spellEnd"/>
      <w:r w:rsidRPr="00957780">
        <w:rPr>
          <w:rFonts w:ascii="Times New Roman" w:hAnsi="Times New Roman" w:cs="Times New Roman"/>
        </w:rPr>
        <w:t xml:space="preserve">, C. C., &amp; </w:t>
      </w:r>
      <w:proofErr w:type="spellStart"/>
      <w:r w:rsidRPr="00957780">
        <w:rPr>
          <w:rFonts w:ascii="Times New Roman" w:hAnsi="Times New Roman" w:cs="Times New Roman"/>
        </w:rPr>
        <w:t>Eison</w:t>
      </w:r>
      <w:proofErr w:type="spellEnd"/>
      <w:r w:rsidRPr="00957780">
        <w:rPr>
          <w:rFonts w:ascii="Times New Roman" w:hAnsi="Times New Roman" w:cs="Times New Roman"/>
        </w:rPr>
        <w:t>, J. A. (1991). </w:t>
      </w:r>
      <w:r w:rsidRPr="00957780">
        <w:rPr>
          <w:rFonts w:ascii="Times New Roman" w:hAnsi="Times New Roman" w:cs="Times New Roman"/>
          <w:i/>
          <w:iCs/>
        </w:rPr>
        <w:t>Active learning: Creating excitement in the classroom</w:t>
      </w:r>
      <w:r w:rsidRPr="00957780">
        <w:rPr>
          <w:rFonts w:ascii="Times New Roman" w:hAnsi="Times New Roman" w:cs="Times New Roman"/>
        </w:rPr>
        <w:t> (ASHE-ERIC Higher Education Report No. 1). ERIC Clearinghouse on Higher Education.</w:t>
      </w:r>
    </w:p>
    <w:p w14:paraId="4E472860" w14:textId="77777777" w:rsidR="008A4DBD" w:rsidRPr="00957780" w:rsidRDefault="008A4DBD" w:rsidP="008A4DBD">
      <w:pPr>
        <w:spacing w:line="480" w:lineRule="auto"/>
        <w:ind w:left="720" w:hanging="720"/>
        <w:jc w:val="both"/>
        <w:rPr>
          <w:rFonts w:ascii="Times New Roman" w:hAnsi="Times New Roman" w:cs="Times New Roman"/>
        </w:rPr>
      </w:pPr>
      <w:proofErr w:type="spellStart"/>
      <w:r w:rsidRPr="00957780">
        <w:rPr>
          <w:rFonts w:ascii="Times New Roman" w:hAnsi="Times New Roman" w:cs="Times New Roman"/>
        </w:rPr>
        <w:lastRenderedPageBreak/>
        <w:t>Bresciani</w:t>
      </w:r>
      <w:proofErr w:type="spellEnd"/>
      <w:r w:rsidRPr="00957780">
        <w:rPr>
          <w:rFonts w:ascii="Times New Roman" w:hAnsi="Times New Roman" w:cs="Times New Roman"/>
        </w:rPr>
        <w:t xml:space="preserve">, M. J., Gardner, M. M., &amp; </w:t>
      </w:r>
      <w:proofErr w:type="spellStart"/>
      <w:r w:rsidRPr="00957780">
        <w:rPr>
          <w:rFonts w:ascii="Times New Roman" w:hAnsi="Times New Roman" w:cs="Times New Roman"/>
        </w:rPr>
        <w:t>Hickmott</w:t>
      </w:r>
      <w:proofErr w:type="spellEnd"/>
      <w:r w:rsidRPr="00957780">
        <w:rPr>
          <w:rFonts w:ascii="Times New Roman" w:hAnsi="Times New Roman" w:cs="Times New Roman"/>
        </w:rPr>
        <w:t>, J. (2009). </w:t>
      </w:r>
      <w:r w:rsidRPr="00957780">
        <w:rPr>
          <w:rFonts w:ascii="Times New Roman" w:hAnsi="Times New Roman" w:cs="Times New Roman"/>
          <w:i/>
          <w:iCs/>
        </w:rPr>
        <w:t>Demonstrating student success: A practical guide to outcomes-based assessment of learning and development in student affairs</w:t>
      </w:r>
      <w:r w:rsidRPr="00957780">
        <w:rPr>
          <w:rFonts w:ascii="Times New Roman" w:hAnsi="Times New Roman" w:cs="Times New Roman"/>
        </w:rPr>
        <w:t>. Stylus.</w:t>
      </w:r>
    </w:p>
    <w:p w14:paraId="1AE4CF48"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Brown, K. R., Finley, J. C., &amp; Marshall, S. K. (2021). </w:t>
      </w:r>
      <w:r w:rsidRPr="00957780">
        <w:rPr>
          <w:rFonts w:ascii="Times New Roman" w:hAnsi="Times New Roman" w:cs="Times New Roman"/>
          <w:i/>
          <w:iCs/>
        </w:rPr>
        <w:t>The residential curriculum model: A guide for implementing intentional learning in college and university residence life programs</w:t>
      </w:r>
      <w:r w:rsidRPr="00957780">
        <w:rPr>
          <w:rFonts w:ascii="Times New Roman" w:hAnsi="Times New Roman" w:cs="Times New Roman"/>
        </w:rPr>
        <w:t>. Stylus.</w:t>
      </w:r>
    </w:p>
    <w:p w14:paraId="56F0BFEB"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 xml:space="preserve">Chickering, A. W., &amp; </w:t>
      </w:r>
      <w:proofErr w:type="spellStart"/>
      <w:r w:rsidRPr="00957780">
        <w:rPr>
          <w:rFonts w:ascii="Times New Roman" w:hAnsi="Times New Roman" w:cs="Times New Roman"/>
        </w:rPr>
        <w:t>Reisser</w:t>
      </w:r>
      <w:proofErr w:type="spellEnd"/>
      <w:r w:rsidRPr="00957780">
        <w:rPr>
          <w:rFonts w:ascii="Times New Roman" w:hAnsi="Times New Roman" w:cs="Times New Roman"/>
        </w:rPr>
        <w:t>, L. (1993). </w:t>
      </w:r>
      <w:r w:rsidRPr="00957780">
        <w:rPr>
          <w:rFonts w:ascii="Times New Roman" w:hAnsi="Times New Roman" w:cs="Times New Roman"/>
          <w:i/>
          <w:iCs/>
        </w:rPr>
        <w:t>Education and identity</w:t>
      </w:r>
      <w:r w:rsidRPr="00957780">
        <w:rPr>
          <w:rFonts w:ascii="Times New Roman" w:hAnsi="Times New Roman" w:cs="Times New Roman"/>
        </w:rPr>
        <w:t> (2nd ed.). Jossey-Bass.</w:t>
      </w:r>
    </w:p>
    <w:p w14:paraId="6CFF6E23"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 xml:space="preserve">Hurtado, S., </w:t>
      </w:r>
      <w:proofErr w:type="spellStart"/>
      <w:r w:rsidRPr="00957780">
        <w:rPr>
          <w:rFonts w:ascii="Times New Roman" w:hAnsi="Times New Roman" w:cs="Times New Roman"/>
        </w:rPr>
        <w:t>Milem</w:t>
      </w:r>
      <w:proofErr w:type="spellEnd"/>
      <w:r w:rsidRPr="00957780">
        <w:rPr>
          <w:rFonts w:ascii="Times New Roman" w:hAnsi="Times New Roman" w:cs="Times New Roman"/>
        </w:rPr>
        <w:t>, J. F., Clayton-Pedersen, A. R., &amp; Allen, W. R. (1999). </w:t>
      </w:r>
      <w:r w:rsidRPr="00957780">
        <w:rPr>
          <w:rFonts w:ascii="Times New Roman" w:hAnsi="Times New Roman" w:cs="Times New Roman"/>
          <w:i/>
          <w:iCs/>
        </w:rPr>
        <w:t>Enacting diverse learning environments: Improving the climate for racial/ethnic diversity in higher education</w:t>
      </w:r>
      <w:r w:rsidRPr="00957780">
        <w:rPr>
          <w:rFonts w:ascii="Times New Roman" w:hAnsi="Times New Roman" w:cs="Times New Roman"/>
        </w:rPr>
        <w:t> (ASHE-ERIC Higher Education Report, 26[8]). Jossey-Bass.</w:t>
      </w:r>
    </w:p>
    <w:p w14:paraId="1E3137C4"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Jones, S. R., &amp; Stewart, D.-L. (2016). Evolution of student development theory. In J. H. Schuh, S. R. Jones, &amp; V. Torres (Eds.), </w:t>
      </w:r>
      <w:r w:rsidRPr="00957780">
        <w:rPr>
          <w:rFonts w:ascii="Times New Roman" w:hAnsi="Times New Roman" w:cs="Times New Roman"/>
          <w:i/>
          <w:iCs/>
        </w:rPr>
        <w:t>Student services: A handbook for the profession</w:t>
      </w:r>
      <w:r w:rsidRPr="00957780">
        <w:rPr>
          <w:rFonts w:ascii="Times New Roman" w:hAnsi="Times New Roman" w:cs="Times New Roman"/>
        </w:rPr>
        <w:t> (6th ed., pp. 275–288). Jossey-Bass.</w:t>
      </w:r>
    </w:p>
    <w:p w14:paraId="61352834"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Keeling, R. P. (Ed.). (2006). </w:t>
      </w:r>
      <w:r w:rsidRPr="00957780">
        <w:rPr>
          <w:rFonts w:ascii="Times New Roman" w:hAnsi="Times New Roman" w:cs="Times New Roman"/>
          <w:i/>
          <w:iCs/>
        </w:rPr>
        <w:t>Learning reconsidered 2: Implementing a campus-wide focus on the student experience</w:t>
      </w:r>
      <w:r w:rsidRPr="00957780">
        <w:rPr>
          <w:rFonts w:ascii="Times New Roman" w:hAnsi="Times New Roman" w:cs="Times New Roman"/>
        </w:rPr>
        <w:t>. ACPA/NASPA.</w:t>
      </w:r>
    </w:p>
    <w:p w14:paraId="4F54301A" w14:textId="77777777" w:rsidR="008A4DBD" w:rsidRPr="00957780" w:rsidRDefault="008A4DBD" w:rsidP="008A4DBD">
      <w:pPr>
        <w:spacing w:line="480" w:lineRule="auto"/>
        <w:ind w:left="720" w:hanging="720"/>
        <w:jc w:val="both"/>
        <w:rPr>
          <w:rFonts w:ascii="Times New Roman" w:hAnsi="Times New Roman" w:cs="Times New Roman"/>
        </w:rPr>
      </w:pPr>
      <w:proofErr w:type="spellStart"/>
      <w:r w:rsidRPr="00957780">
        <w:rPr>
          <w:rFonts w:ascii="Times New Roman" w:hAnsi="Times New Roman" w:cs="Times New Roman"/>
        </w:rPr>
        <w:t>Kezar</w:t>
      </w:r>
      <w:proofErr w:type="spellEnd"/>
      <w:r w:rsidRPr="00957780">
        <w:rPr>
          <w:rFonts w:ascii="Times New Roman" w:hAnsi="Times New Roman" w:cs="Times New Roman"/>
        </w:rPr>
        <w:t>, A. J. (2001). </w:t>
      </w:r>
      <w:r w:rsidRPr="00957780">
        <w:rPr>
          <w:rFonts w:ascii="Times New Roman" w:hAnsi="Times New Roman" w:cs="Times New Roman"/>
          <w:i/>
          <w:iCs/>
        </w:rPr>
        <w:t>Understanding and facilitating organizational change in the 21st century</w:t>
      </w:r>
      <w:r w:rsidRPr="00957780">
        <w:rPr>
          <w:rFonts w:ascii="Times New Roman" w:hAnsi="Times New Roman" w:cs="Times New Roman"/>
        </w:rPr>
        <w:t> (ASHE-ERIC Higher Education Report, 28[4]). Jossey-Bass.</w:t>
      </w:r>
    </w:p>
    <w:p w14:paraId="6BC62DC9"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Kolb, D. A. (1984). </w:t>
      </w:r>
      <w:r w:rsidRPr="00957780">
        <w:rPr>
          <w:rFonts w:ascii="Times New Roman" w:hAnsi="Times New Roman" w:cs="Times New Roman"/>
          <w:i/>
          <w:iCs/>
        </w:rPr>
        <w:t>Experiential learning: Experience as the source of learning and development</w:t>
      </w:r>
      <w:r w:rsidRPr="00957780">
        <w:rPr>
          <w:rFonts w:ascii="Times New Roman" w:hAnsi="Times New Roman" w:cs="Times New Roman"/>
        </w:rPr>
        <w:t>. Prentice Hall.</w:t>
      </w:r>
    </w:p>
    <w:p w14:paraId="2CD757C8" w14:textId="77777777" w:rsidR="008A4DBD" w:rsidRPr="00957780" w:rsidRDefault="008A4DBD" w:rsidP="008A4DBD">
      <w:pPr>
        <w:spacing w:line="480" w:lineRule="auto"/>
        <w:ind w:left="720" w:hanging="720"/>
        <w:jc w:val="both"/>
        <w:rPr>
          <w:rFonts w:ascii="Times New Roman" w:hAnsi="Times New Roman" w:cs="Times New Roman"/>
        </w:rPr>
      </w:pPr>
      <w:proofErr w:type="spellStart"/>
      <w:r w:rsidRPr="00957780">
        <w:rPr>
          <w:rFonts w:ascii="Times New Roman" w:hAnsi="Times New Roman" w:cs="Times New Roman"/>
        </w:rPr>
        <w:t>Kuh</w:t>
      </w:r>
      <w:proofErr w:type="spellEnd"/>
      <w:r w:rsidRPr="00957780">
        <w:rPr>
          <w:rFonts w:ascii="Times New Roman" w:hAnsi="Times New Roman" w:cs="Times New Roman"/>
        </w:rPr>
        <w:t>, G. D. (1996). Guiding principles for creating seamless learning environments for undergraduates. </w:t>
      </w:r>
      <w:r w:rsidRPr="00957780">
        <w:rPr>
          <w:rFonts w:ascii="Times New Roman" w:hAnsi="Times New Roman" w:cs="Times New Roman"/>
          <w:i/>
          <w:iCs/>
        </w:rPr>
        <w:t>Journal of College Student Development, 37</w:t>
      </w:r>
      <w:r w:rsidRPr="00957780">
        <w:rPr>
          <w:rFonts w:ascii="Times New Roman" w:hAnsi="Times New Roman" w:cs="Times New Roman"/>
        </w:rPr>
        <w:t>(2), 135–148.</w:t>
      </w:r>
    </w:p>
    <w:p w14:paraId="5C4F4C87" w14:textId="77777777" w:rsidR="008A4DBD" w:rsidRPr="00957780" w:rsidRDefault="008A4DBD" w:rsidP="008A4DBD">
      <w:pPr>
        <w:spacing w:line="480" w:lineRule="auto"/>
        <w:ind w:left="720" w:hanging="720"/>
        <w:jc w:val="both"/>
        <w:rPr>
          <w:rFonts w:ascii="Times New Roman" w:hAnsi="Times New Roman" w:cs="Times New Roman"/>
        </w:rPr>
      </w:pPr>
      <w:proofErr w:type="spellStart"/>
      <w:r w:rsidRPr="00957780">
        <w:rPr>
          <w:rFonts w:ascii="Times New Roman" w:hAnsi="Times New Roman" w:cs="Times New Roman"/>
        </w:rPr>
        <w:lastRenderedPageBreak/>
        <w:t>Kuh</w:t>
      </w:r>
      <w:proofErr w:type="spellEnd"/>
      <w:r w:rsidRPr="00957780">
        <w:rPr>
          <w:rFonts w:ascii="Times New Roman" w:hAnsi="Times New Roman" w:cs="Times New Roman"/>
        </w:rPr>
        <w:t>, G. D. (2008). </w:t>
      </w:r>
      <w:r w:rsidRPr="00957780">
        <w:rPr>
          <w:rFonts w:ascii="Times New Roman" w:hAnsi="Times New Roman" w:cs="Times New Roman"/>
          <w:i/>
          <w:iCs/>
        </w:rPr>
        <w:t>High-impact educational practices: What they are, who has access to them, and why they matter</w:t>
      </w:r>
      <w:r w:rsidRPr="00957780">
        <w:rPr>
          <w:rFonts w:ascii="Times New Roman" w:hAnsi="Times New Roman" w:cs="Times New Roman"/>
        </w:rPr>
        <w:t>. Association of American Colleges and Universities.</w:t>
      </w:r>
    </w:p>
    <w:p w14:paraId="6937ABB6" w14:textId="77777777" w:rsidR="008A4DBD" w:rsidRPr="00957780" w:rsidRDefault="008A4DBD" w:rsidP="008A4DBD">
      <w:pPr>
        <w:spacing w:line="480" w:lineRule="auto"/>
        <w:ind w:left="720" w:hanging="720"/>
        <w:jc w:val="both"/>
        <w:rPr>
          <w:rFonts w:ascii="Times New Roman" w:hAnsi="Times New Roman" w:cs="Times New Roman"/>
        </w:rPr>
      </w:pPr>
      <w:proofErr w:type="spellStart"/>
      <w:r w:rsidRPr="00957780">
        <w:rPr>
          <w:rFonts w:ascii="Times New Roman" w:hAnsi="Times New Roman" w:cs="Times New Roman"/>
        </w:rPr>
        <w:t>Kuh</w:t>
      </w:r>
      <w:proofErr w:type="spellEnd"/>
      <w:r w:rsidRPr="00957780">
        <w:rPr>
          <w:rFonts w:ascii="Times New Roman" w:hAnsi="Times New Roman" w:cs="Times New Roman"/>
        </w:rPr>
        <w:t>, G. D., &amp; Whitt, E. J. (1988). </w:t>
      </w:r>
      <w:r w:rsidRPr="00957780">
        <w:rPr>
          <w:rFonts w:ascii="Times New Roman" w:hAnsi="Times New Roman" w:cs="Times New Roman"/>
          <w:i/>
          <w:iCs/>
        </w:rPr>
        <w:t>The invisible tapestry: Culture in American colleges and universities</w:t>
      </w:r>
      <w:r w:rsidRPr="00957780">
        <w:rPr>
          <w:rFonts w:ascii="Times New Roman" w:hAnsi="Times New Roman" w:cs="Times New Roman"/>
        </w:rPr>
        <w:t> (ASHE-ERIC Higher Education Report No. 1). Jossey-Bass.</w:t>
      </w:r>
    </w:p>
    <w:p w14:paraId="17C348B3"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Manning, K. (2013). </w:t>
      </w:r>
      <w:r w:rsidRPr="00957780">
        <w:rPr>
          <w:rFonts w:ascii="Times New Roman" w:hAnsi="Times New Roman" w:cs="Times New Roman"/>
          <w:i/>
          <w:iCs/>
        </w:rPr>
        <w:t>Organizational theory in higher education</w:t>
      </w:r>
      <w:r w:rsidRPr="00957780">
        <w:rPr>
          <w:rFonts w:ascii="Times New Roman" w:hAnsi="Times New Roman" w:cs="Times New Roman"/>
        </w:rPr>
        <w:t>. Routledge.</w:t>
      </w:r>
    </w:p>
    <w:p w14:paraId="39C8BDDD"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 xml:space="preserve">Patton, L. D., </w:t>
      </w:r>
      <w:proofErr w:type="spellStart"/>
      <w:r w:rsidRPr="00957780">
        <w:rPr>
          <w:rFonts w:ascii="Times New Roman" w:hAnsi="Times New Roman" w:cs="Times New Roman"/>
        </w:rPr>
        <w:t>Renn</w:t>
      </w:r>
      <w:proofErr w:type="spellEnd"/>
      <w:r w:rsidRPr="00957780">
        <w:rPr>
          <w:rFonts w:ascii="Times New Roman" w:hAnsi="Times New Roman" w:cs="Times New Roman"/>
        </w:rPr>
        <w:t>, K. A., Guido, F. M., &amp; Quaye, S. J. (2016). </w:t>
      </w:r>
      <w:r w:rsidRPr="00957780">
        <w:rPr>
          <w:rFonts w:ascii="Times New Roman" w:hAnsi="Times New Roman" w:cs="Times New Roman"/>
          <w:i/>
          <w:iCs/>
        </w:rPr>
        <w:t>Student development in college: Theory, research, and practice</w:t>
      </w:r>
      <w:r w:rsidRPr="00957780">
        <w:rPr>
          <w:rFonts w:ascii="Times New Roman" w:hAnsi="Times New Roman" w:cs="Times New Roman"/>
        </w:rPr>
        <w:t> (3rd ed.). Jossey-Bass.</w:t>
      </w:r>
    </w:p>
    <w:p w14:paraId="6528A205"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Perry, W. G. (1970). </w:t>
      </w:r>
      <w:r w:rsidRPr="00957780">
        <w:rPr>
          <w:rFonts w:ascii="Times New Roman" w:hAnsi="Times New Roman" w:cs="Times New Roman"/>
          <w:i/>
          <w:iCs/>
        </w:rPr>
        <w:t>Forms of intellectual and ethical development in the college years: A scheme</w:t>
      </w:r>
      <w:r w:rsidRPr="00957780">
        <w:rPr>
          <w:rFonts w:ascii="Times New Roman" w:hAnsi="Times New Roman" w:cs="Times New Roman"/>
        </w:rPr>
        <w:t>. Holt, Rinehart &amp; Winston.</w:t>
      </w:r>
    </w:p>
    <w:p w14:paraId="43DCA5B0"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Rest, J. R. (1986). </w:t>
      </w:r>
      <w:r w:rsidRPr="00957780">
        <w:rPr>
          <w:rFonts w:ascii="Times New Roman" w:hAnsi="Times New Roman" w:cs="Times New Roman"/>
          <w:i/>
          <w:iCs/>
        </w:rPr>
        <w:t>Moral development: Advances in research and theory</w:t>
      </w:r>
      <w:r w:rsidRPr="00957780">
        <w:rPr>
          <w:rFonts w:ascii="Times New Roman" w:hAnsi="Times New Roman" w:cs="Times New Roman"/>
        </w:rPr>
        <w:t>. Praeger.</w:t>
      </w:r>
    </w:p>
    <w:p w14:paraId="02CD23AA"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Sanford, N. (1966). </w:t>
      </w:r>
      <w:r w:rsidRPr="00957780">
        <w:rPr>
          <w:rFonts w:ascii="Times New Roman" w:hAnsi="Times New Roman" w:cs="Times New Roman"/>
          <w:i/>
          <w:iCs/>
        </w:rPr>
        <w:t>Self and society: Social change and individual development</w:t>
      </w:r>
      <w:r w:rsidRPr="00957780">
        <w:rPr>
          <w:rFonts w:ascii="Times New Roman" w:hAnsi="Times New Roman" w:cs="Times New Roman"/>
        </w:rPr>
        <w:t>. Atherton Press.</w:t>
      </w:r>
    </w:p>
    <w:p w14:paraId="12DDD241"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Schein, E. H. (2010). </w:t>
      </w:r>
      <w:r w:rsidRPr="00957780">
        <w:rPr>
          <w:rFonts w:ascii="Times New Roman" w:hAnsi="Times New Roman" w:cs="Times New Roman"/>
          <w:i/>
          <w:iCs/>
        </w:rPr>
        <w:t>Organizational culture and leadership</w:t>
      </w:r>
      <w:r w:rsidRPr="00957780">
        <w:rPr>
          <w:rFonts w:ascii="Times New Roman" w:hAnsi="Times New Roman" w:cs="Times New Roman"/>
        </w:rPr>
        <w:t> (4th ed.). Jossey-Bass.</w:t>
      </w:r>
    </w:p>
    <w:p w14:paraId="62D7C282"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Schlossberg, N. K. (1984). </w:t>
      </w:r>
      <w:r w:rsidRPr="00957780">
        <w:rPr>
          <w:rFonts w:ascii="Times New Roman" w:hAnsi="Times New Roman" w:cs="Times New Roman"/>
          <w:i/>
          <w:iCs/>
        </w:rPr>
        <w:t>Counseling adults in transition: Linking practice with theory</w:t>
      </w:r>
      <w:r w:rsidRPr="00957780">
        <w:rPr>
          <w:rFonts w:ascii="Times New Roman" w:hAnsi="Times New Roman" w:cs="Times New Roman"/>
        </w:rPr>
        <w:t>. Springer.</w:t>
      </w:r>
    </w:p>
    <w:p w14:paraId="0A4DDD3B"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Schlossberg, N. K. (1989). Marginality and mattering: Key issues in building community. </w:t>
      </w:r>
      <w:r w:rsidRPr="00957780">
        <w:rPr>
          <w:rFonts w:ascii="Times New Roman" w:hAnsi="Times New Roman" w:cs="Times New Roman"/>
          <w:i/>
          <w:iCs/>
        </w:rPr>
        <w:t>New Directions for Student Services, 1989</w:t>
      </w:r>
      <w:r w:rsidRPr="00957780">
        <w:rPr>
          <w:rFonts w:ascii="Times New Roman" w:hAnsi="Times New Roman" w:cs="Times New Roman"/>
        </w:rPr>
        <w:t>(48), 5–15. https://doi.org/10.1002/ss.37119894803</w:t>
      </w:r>
    </w:p>
    <w:p w14:paraId="682CD867"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Schuh, J. H., &amp; Associates. (2011). </w:t>
      </w:r>
      <w:r w:rsidRPr="00957780">
        <w:rPr>
          <w:rFonts w:ascii="Times New Roman" w:hAnsi="Times New Roman" w:cs="Times New Roman"/>
          <w:i/>
          <w:iCs/>
        </w:rPr>
        <w:t>Assessment methods for student affairs</w:t>
      </w:r>
      <w:r w:rsidRPr="00957780">
        <w:rPr>
          <w:rFonts w:ascii="Times New Roman" w:hAnsi="Times New Roman" w:cs="Times New Roman"/>
        </w:rPr>
        <w:t>. Jossey-Bass.</w:t>
      </w:r>
    </w:p>
    <w:p w14:paraId="1B76DB8F"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Scott, W. R. (2013). Organization theory and higher education. </w:t>
      </w:r>
      <w:r w:rsidRPr="00957780">
        <w:rPr>
          <w:rFonts w:ascii="Times New Roman" w:hAnsi="Times New Roman" w:cs="Times New Roman"/>
          <w:i/>
          <w:iCs/>
        </w:rPr>
        <w:t>The Journal of Organizational Theory in Education, 1</w:t>
      </w:r>
      <w:r w:rsidRPr="00957780">
        <w:rPr>
          <w:rFonts w:ascii="Times New Roman" w:hAnsi="Times New Roman" w:cs="Times New Roman"/>
        </w:rPr>
        <w:t>(1), 1–10.</w:t>
      </w:r>
    </w:p>
    <w:p w14:paraId="39D1C541"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Tinto, V. (1993). </w:t>
      </w:r>
      <w:r w:rsidRPr="00957780">
        <w:rPr>
          <w:rFonts w:ascii="Times New Roman" w:hAnsi="Times New Roman" w:cs="Times New Roman"/>
          <w:i/>
          <w:iCs/>
        </w:rPr>
        <w:t>Leaving college: Rethinking the causes and cures of student attrition</w:t>
      </w:r>
      <w:r w:rsidRPr="00957780">
        <w:rPr>
          <w:rFonts w:ascii="Times New Roman" w:hAnsi="Times New Roman" w:cs="Times New Roman"/>
        </w:rPr>
        <w:t> (2nd ed.). University of Chicago Press.</w:t>
      </w:r>
    </w:p>
    <w:p w14:paraId="3F893351"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lastRenderedPageBreak/>
        <w:t>Weber, M. (1947). </w:t>
      </w:r>
      <w:r w:rsidRPr="00957780">
        <w:rPr>
          <w:rFonts w:ascii="Times New Roman" w:hAnsi="Times New Roman" w:cs="Times New Roman"/>
          <w:i/>
          <w:iCs/>
        </w:rPr>
        <w:t>The theory of social and economic organization</w:t>
      </w:r>
      <w:r w:rsidRPr="00957780">
        <w:rPr>
          <w:rFonts w:ascii="Times New Roman" w:hAnsi="Times New Roman" w:cs="Times New Roman"/>
        </w:rPr>
        <w:t> (A. M. Henderson &amp; T. Parsons, Trans.). Free Press.</w:t>
      </w:r>
    </w:p>
    <w:p w14:paraId="0D828910" w14:textId="77777777" w:rsidR="008A4DBD" w:rsidRPr="00957780" w:rsidRDefault="008A4DBD" w:rsidP="008A4DBD">
      <w:pPr>
        <w:spacing w:line="480" w:lineRule="auto"/>
        <w:ind w:left="720" w:hanging="720"/>
        <w:jc w:val="both"/>
        <w:rPr>
          <w:rFonts w:ascii="Times New Roman" w:hAnsi="Times New Roman" w:cs="Times New Roman"/>
        </w:rPr>
      </w:pPr>
      <w:r w:rsidRPr="00957780">
        <w:rPr>
          <w:rFonts w:ascii="Times New Roman" w:hAnsi="Times New Roman" w:cs="Times New Roman"/>
        </w:rPr>
        <w:t>Wood, M. (2020). Infusing soul into student affairs: Organizational theory and models. </w:t>
      </w:r>
      <w:r w:rsidRPr="00957780">
        <w:rPr>
          <w:rFonts w:ascii="Times New Roman" w:hAnsi="Times New Roman" w:cs="Times New Roman"/>
          <w:i/>
          <w:iCs/>
        </w:rPr>
        <w:t>Journal of College Student Development, 61</w:t>
      </w:r>
      <w:r w:rsidRPr="00957780">
        <w:rPr>
          <w:rFonts w:ascii="Times New Roman" w:hAnsi="Times New Roman" w:cs="Times New Roman"/>
        </w:rPr>
        <w:t>(4), 456–458. https://doi.org/10.1353/csd.2020.0047</w:t>
      </w:r>
    </w:p>
    <w:p w14:paraId="42C00620" w14:textId="77777777" w:rsidR="00940C27" w:rsidRDefault="00940C27"/>
    <w:p w14:paraId="43B9C466" w14:textId="77777777" w:rsidR="00E80B79" w:rsidRDefault="00E80B79"/>
    <w:p w14:paraId="3260E594" w14:textId="77777777" w:rsidR="00E80B79" w:rsidRDefault="00E80B79"/>
    <w:p w14:paraId="1826F0DC" w14:textId="77777777" w:rsidR="00E80B79" w:rsidRDefault="00E80B79"/>
    <w:p w14:paraId="095BB845" w14:textId="77777777" w:rsidR="00E80B79" w:rsidRDefault="00E80B79"/>
    <w:p w14:paraId="38A37FF7" w14:textId="77777777" w:rsidR="00E80B79" w:rsidRDefault="00E80B79"/>
    <w:p w14:paraId="529142CE" w14:textId="77777777" w:rsidR="00E80B79" w:rsidRDefault="00E80B79"/>
    <w:p w14:paraId="45D7B743" w14:textId="77777777" w:rsidR="00E80B79" w:rsidRDefault="00E80B79"/>
    <w:p w14:paraId="7B0F29DC" w14:textId="77777777" w:rsidR="00E80B79" w:rsidRDefault="00E80B79"/>
    <w:p w14:paraId="35565FA6" w14:textId="77777777" w:rsidR="00E80B79" w:rsidRDefault="00E80B79"/>
    <w:p w14:paraId="14F241AA" w14:textId="77777777" w:rsidR="00E80B79" w:rsidRDefault="00E80B79"/>
    <w:p w14:paraId="6D139A22" w14:textId="77777777" w:rsidR="00E80B79" w:rsidRDefault="00E80B79"/>
    <w:p w14:paraId="1EAC1157" w14:textId="77777777" w:rsidR="00E80B79" w:rsidRDefault="00E80B79"/>
    <w:p w14:paraId="12F58F9B" w14:textId="77777777" w:rsidR="00E80B79" w:rsidRDefault="00E80B79"/>
    <w:p w14:paraId="2A61B538" w14:textId="77777777" w:rsidR="00E80B79" w:rsidRDefault="00E80B79"/>
    <w:p w14:paraId="0BE7904E" w14:textId="77777777" w:rsidR="00E80B79" w:rsidRDefault="00E80B79"/>
    <w:p w14:paraId="4E58E111" w14:textId="77777777" w:rsidR="00E80B79" w:rsidRDefault="00E80B79"/>
    <w:p w14:paraId="385351C6" w14:textId="77777777" w:rsidR="00E80B79" w:rsidRDefault="00E80B79"/>
    <w:p w14:paraId="747E2224" w14:textId="77777777" w:rsidR="00E80B79" w:rsidRDefault="00E80B79"/>
    <w:p w14:paraId="1E6B8FFA" w14:textId="77777777" w:rsidR="00E80B79" w:rsidRDefault="00E80B79"/>
    <w:p w14:paraId="34B6AC9E" w14:textId="77777777" w:rsidR="00E80B79" w:rsidRDefault="00E80B79"/>
    <w:tbl>
      <w:tblPr>
        <w:tblW w:w="0" w:type="auto"/>
        <w:tblInd w:w="-30" w:type="dxa"/>
        <w:tblLayout w:type="fixed"/>
        <w:tblCellMar>
          <w:left w:w="30" w:type="dxa"/>
          <w:right w:w="30" w:type="dxa"/>
        </w:tblCellMar>
        <w:tblLook w:val="0000" w:firstRow="0" w:lastRow="0" w:firstColumn="0" w:lastColumn="0" w:noHBand="0" w:noVBand="0"/>
      </w:tblPr>
      <w:tblGrid>
        <w:gridCol w:w="1"/>
        <w:gridCol w:w="1"/>
        <w:gridCol w:w="1298"/>
        <w:gridCol w:w="1300"/>
        <w:gridCol w:w="1"/>
        <w:gridCol w:w="1299"/>
        <w:gridCol w:w="1300"/>
        <w:gridCol w:w="1300"/>
      </w:tblGrid>
      <w:tr w:rsidR="00E80B79" w:rsidRPr="00E80B79" w14:paraId="6C8072DE" w14:textId="77777777">
        <w:tblPrEx>
          <w:tblCellMar>
            <w:top w:w="0" w:type="dxa"/>
            <w:bottom w:w="0" w:type="dxa"/>
          </w:tblCellMar>
        </w:tblPrEx>
        <w:trPr>
          <w:trHeight w:val="300"/>
        </w:trPr>
        <w:tc>
          <w:tcPr>
            <w:tcW w:w="1300" w:type="dxa"/>
            <w:gridSpan w:val="3"/>
            <w:tcBorders>
              <w:top w:val="nil"/>
              <w:left w:val="nil"/>
              <w:bottom w:val="nil"/>
              <w:right w:val="nil"/>
            </w:tcBorders>
          </w:tcPr>
          <w:p w14:paraId="7A60132A" w14:textId="77777777" w:rsidR="00E80B79" w:rsidRPr="00E80B79" w:rsidRDefault="00E80B79" w:rsidP="00E80B79"/>
        </w:tc>
        <w:tc>
          <w:tcPr>
            <w:tcW w:w="1300" w:type="dxa"/>
            <w:tcBorders>
              <w:top w:val="nil"/>
              <w:left w:val="nil"/>
              <w:bottom w:val="nil"/>
              <w:right w:val="nil"/>
            </w:tcBorders>
          </w:tcPr>
          <w:p w14:paraId="52CC2532" w14:textId="77777777" w:rsidR="00E80B79" w:rsidRPr="00E80B79" w:rsidRDefault="00E80B79" w:rsidP="00E80B79"/>
        </w:tc>
        <w:tc>
          <w:tcPr>
            <w:tcW w:w="1300" w:type="dxa"/>
            <w:gridSpan w:val="2"/>
            <w:tcBorders>
              <w:top w:val="nil"/>
              <w:left w:val="nil"/>
              <w:bottom w:val="nil"/>
              <w:right w:val="nil"/>
            </w:tcBorders>
          </w:tcPr>
          <w:p w14:paraId="7CBBE194" w14:textId="77777777" w:rsidR="00E80B79" w:rsidRPr="00E80B79" w:rsidRDefault="00E80B79" w:rsidP="00E80B79"/>
        </w:tc>
        <w:tc>
          <w:tcPr>
            <w:tcW w:w="1300" w:type="dxa"/>
            <w:tcBorders>
              <w:top w:val="nil"/>
              <w:left w:val="nil"/>
              <w:bottom w:val="nil"/>
              <w:right w:val="nil"/>
            </w:tcBorders>
          </w:tcPr>
          <w:p w14:paraId="4EC9D29E" w14:textId="77777777" w:rsidR="00E80B79" w:rsidRPr="00E80B79" w:rsidRDefault="00E80B79" w:rsidP="00E80B79"/>
        </w:tc>
        <w:tc>
          <w:tcPr>
            <w:tcW w:w="1300" w:type="dxa"/>
            <w:tcBorders>
              <w:top w:val="nil"/>
              <w:left w:val="nil"/>
              <w:bottom w:val="nil"/>
              <w:right w:val="nil"/>
            </w:tcBorders>
          </w:tcPr>
          <w:p w14:paraId="2FA1C7F3" w14:textId="77777777" w:rsidR="00E80B79" w:rsidRPr="00E80B79" w:rsidRDefault="00E80B79" w:rsidP="00E80B79"/>
        </w:tc>
      </w:tr>
      <w:tr w:rsidR="00E80B79" w:rsidRPr="00E80B79" w14:paraId="40513F50" w14:textId="77777777">
        <w:tblPrEx>
          <w:tblCellMar>
            <w:top w:w="0" w:type="dxa"/>
            <w:bottom w:w="0" w:type="dxa"/>
          </w:tblCellMar>
        </w:tblPrEx>
        <w:trPr>
          <w:trHeight w:val="300"/>
        </w:trPr>
        <w:tc>
          <w:tcPr>
            <w:tcW w:w="1300" w:type="dxa"/>
            <w:gridSpan w:val="3"/>
            <w:tcBorders>
              <w:top w:val="nil"/>
              <w:left w:val="nil"/>
              <w:bottom w:val="nil"/>
              <w:right w:val="nil"/>
            </w:tcBorders>
          </w:tcPr>
          <w:p w14:paraId="16C39454" w14:textId="77777777" w:rsidR="00E80B79" w:rsidRPr="00E80B79" w:rsidRDefault="00E80B79" w:rsidP="00E80B79">
            <w:pPr>
              <w:rPr>
                <w:b/>
                <w:bCs/>
              </w:rPr>
            </w:pPr>
            <w:r w:rsidRPr="00E80B79">
              <w:rPr>
                <w:b/>
                <w:bCs/>
              </w:rPr>
              <w:t>Category</w:t>
            </w:r>
          </w:p>
        </w:tc>
        <w:tc>
          <w:tcPr>
            <w:tcW w:w="1300" w:type="dxa"/>
            <w:tcBorders>
              <w:top w:val="nil"/>
              <w:left w:val="nil"/>
              <w:bottom w:val="nil"/>
              <w:right w:val="nil"/>
            </w:tcBorders>
          </w:tcPr>
          <w:p w14:paraId="681E20B9" w14:textId="77777777" w:rsidR="00E80B79" w:rsidRPr="00E80B79" w:rsidRDefault="00E80B79" w:rsidP="00E80B79"/>
        </w:tc>
        <w:tc>
          <w:tcPr>
            <w:tcW w:w="2600" w:type="dxa"/>
            <w:hMerge w:val="restart"/>
            <w:tcBorders>
              <w:top w:val="nil"/>
              <w:left w:val="nil"/>
              <w:bottom w:val="nil"/>
              <w:right w:val="nil"/>
            </w:tcBorders>
          </w:tcPr>
          <w:p w14:paraId="66DA3A9D" w14:textId="77777777" w:rsidR="00E80B79" w:rsidRPr="00E80B79" w:rsidRDefault="00E80B79" w:rsidP="00E80B79">
            <w:pPr>
              <w:rPr>
                <w:b/>
                <w:bCs/>
              </w:rPr>
            </w:pPr>
            <w:r w:rsidRPr="00E80B79">
              <w:rPr>
                <w:b/>
                <w:bCs/>
              </w:rPr>
              <w:t>Base Cost FY25 ($)</w:t>
            </w:r>
          </w:p>
        </w:tc>
        <w:tc>
          <w:tcPr>
            <w:gridSpan w:val="2"/>
            <w:hMerge/>
            <w:tcBorders>
              <w:top w:val="nil"/>
              <w:left w:val="nil"/>
              <w:bottom w:val="nil"/>
              <w:right w:val="nil"/>
            </w:tcBorders>
          </w:tcPr>
          <w:p w14:paraId="5D0777F8" w14:textId="77777777" w:rsidR="00E80B79" w:rsidRPr="00E80B79" w:rsidRDefault="00E80B79" w:rsidP="00E80B79"/>
        </w:tc>
        <w:tc>
          <w:tcPr>
            <w:tcW w:w="1300" w:type="dxa"/>
            <w:tcBorders>
              <w:top w:val="nil"/>
              <w:left w:val="nil"/>
              <w:bottom w:val="nil"/>
              <w:right w:val="nil"/>
            </w:tcBorders>
          </w:tcPr>
          <w:p w14:paraId="02924442" w14:textId="77777777" w:rsidR="00E80B79" w:rsidRPr="00E80B79" w:rsidRDefault="00E80B79" w:rsidP="00E80B79">
            <w:pPr>
              <w:rPr>
                <w:b/>
                <w:bCs/>
              </w:rPr>
            </w:pPr>
            <w:r w:rsidRPr="00E80B79">
              <w:rPr>
                <w:b/>
                <w:bCs/>
              </w:rPr>
              <w:t>Estimated Cost FY26 ($)</w:t>
            </w:r>
          </w:p>
        </w:tc>
      </w:tr>
      <w:tr w:rsidR="00E80B79" w:rsidRPr="00E80B79" w14:paraId="341653E9" w14:textId="77777777">
        <w:tblPrEx>
          <w:tblCellMar>
            <w:top w:w="0" w:type="dxa"/>
            <w:bottom w:w="0" w:type="dxa"/>
          </w:tblCellMar>
        </w:tblPrEx>
        <w:trPr>
          <w:trHeight w:val="300"/>
        </w:trPr>
        <w:tc>
          <w:tcPr>
            <w:tcW w:w="2600" w:type="dxa"/>
            <w:hMerge w:val="restart"/>
            <w:tcBorders>
              <w:top w:val="nil"/>
              <w:left w:val="nil"/>
              <w:bottom w:val="nil"/>
              <w:right w:val="nil"/>
            </w:tcBorders>
          </w:tcPr>
          <w:p w14:paraId="07F6C7C5" w14:textId="77777777" w:rsidR="00E80B79" w:rsidRPr="00E80B79" w:rsidRDefault="00E80B79" w:rsidP="00E80B79">
            <w:pPr>
              <w:rPr>
                <w:b/>
                <w:bCs/>
              </w:rPr>
            </w:pPr>
            <w:r w:rsidRPr="00E80B79">
              <w:rPr>
                <w:b/>
                <w:bCs/>
              </w:rPr>
              <w:t>Personnel &amp; Salaries</w:t>
            </w:r>
          </w:p>
        </w:tc>
        <w:tc>
          <w:tcPr>
            <w:gridSpan w:val="3"/>
            <w:hMerge/>
            <w:tcBorders>
              <w:top w:val="nil"/>
              <w:left w:val="nil"/>
              <w:bottom w:val="nil"/>
              <w:right w:val="nil"/>
            </w:tcBorders>
          </w:tcPr>
          <w:p w14:paraId="215A83AB" w14:textId="77777777" w:rsidR="00E80B79" w:rsidRPr="00E80B79" w:rsidRDefault="00E80B79" w:rsidP="00E80B79"/>
        </w:tc>
        <w:tc>
          <w:tcPr>
            <w:tcW w:w="1300" w:type="dxa"/>
            <w:gridSpan w:val="2"/>
            <w:tcBorders>
              <w:top w:val="nil"/>
              <w:left w:val="nil"/>
              <w:bottom w:val="nil"/>
              <w:right w:val="nil"/>
            </w:tcBorders>
          </w:tcPr>
          <w:p w14:paraId="287A0C51" w14:textId="77777777" w:rsidR="00E80B79" w:rsidRPr="00E80B79" w:rsidRDefault="00E80B79" w:rsidP="00E80B79"/>
        </w:tc>
        <w:tc>
          <w:tcPr>
            <w:tcW w:w="1300" w:type="dxa"/>
            <w:tcBorders>
              <w:top w:val="nil"/>
              <w:left w:val="nil"/>
              <w:bottom w:val="nil"/>
              <w:right w:val="nil"/>
            </w:tcBorders>
          </w:tcPr>
          <w:p w14:paraId="6D37470E" w14:textId="77777777" w:rsidR="00E80B79" w:rsidRPr="00E80B79" w:rsidRDefault="00E80B79" w:rsidP="00E80B79"/>
        </w:tc>
        <w:tc>
          <w:tcPr>
            <w:tcW w:w="1300" w:type="dxa"/>
            <w:tcBorders>
              <w:top w:val="nil"/>
              <w:left w:val="nil"/>
              <w:bottom w:val="nil"/>
              <w:right w:val="nil"/>
            </w:tcBorders>
          </w:tcPr>
          <w:p w14:paraId="7CADD6CC" w14:textId="77777777" w:rsidR="00E80B79" w:rsidRPr="00E80B79" w:rsidRDefault="00E80B79" w:rsidP="00E80B79"/>
        </w:tc>
      </w:tr>
      <w:tr w:rsidR="00E80B79" w:rsidRPr="00E80B79" w14:paraId="391C2A61" w14:textId="77777777">
        <w:tblPrEx>
          <w:tblCellMar>
            <w:top w:w="0" w:type="dxa"/>
            <w:bottom w:w="0" w:type="dxa"/>
          </w:tblCellMar>
        </w:tblPrEx>
        <w:trPr>
          <w:trHeight w:val="300"/>
        </w:trPr>
        <w:tc>
          <w:tcPr>
            <w:tcW w:w="2600" w:type="dxa"/>
            <w:hMerge w:val="restart"/>
            <w:tcBorders>
              <w:top w:val="nil"/>
              <w:left w:val="nil"/>
              <w:bottom w:val="nil"/>
              <w:right w:val="nil"/>
            </w:tcBorders>
          </w:tcPr>
          <w:p w14:paraId="579DD89A" w14:textId="77777777" w:rsidR="00E80B79" w:rsidRPr="00E80B79" w:rsidRDefault="00E80B79" w:rsidP="00E80B79">
            <w:r w:rsidRPr="00E80B79">
              <w:t>Graduate Assistant Stipend</w:t>
            </w:r>
          </w:p>
        </w:tc>
        <w:tc>
          <w:tcPr>
            <w:gridSpan w:val="3"/>
            <w:hMerge/>
            <w:tcBorders>
              <w:top w:val="nil"/>
              <w:left w:val="nil"/>
              <w:bottom w:val="nil"/>
              <w:right w:val="nil"/>
            </w:tcBorders>
          </w:tcPr>
          <w:p w14:paraId="5D8B664F" w14:textId="77777777" w:rsidR="00E80B79" w:rsidRPr="00E80B79" w:rsidRDefault="00E80B79" w:rsidP="00E80B79"/>
        </w:tc>
        <w:tc>
          <w:tcPr>
            <w:tcW w:w="1300" w:type="dxa"/>
            <w:gridSpan w:val="2"/>
            <w:tcBorders>
              <w:top w:val="nil"/>
              <w:left w:val="nil"/>
              <w:bottom w:val="nil"/>
              <w:right w:val="nil"/>
            </w:tcBorders>
          </w:tcPr>
          <w:p w14:paraId="47E0C0C9" w14:textId="77777777" w:rsidR="00E80B79" w:rsidRPr="00E80B79" w:rsidRDefault="00E80B79" w:rsidP="00E80B79">
            <w:r w:rsidRPr="00E80B79">
              <w:t xml:space="preserve">$18,000 </w:t>
            </w:r>
          </w:p>
        </w:tc>
        <w:tc>
          <w:tcPr>
            <w:tcW w:w="1300" w:type="dxa"/>
            <w:tcBorders>
              <w:top w:val="nil"/>
              <w:left w:val="nil"/>
              <w:bottom w:val="nil"/>
              <w:right w:val="nil"/>
            </w:tcBorders>
          </w:tcPr>
          <w:p w14:paraId="1450C1EE" w14:textId="77777777" w:rsidR="00E80B79" w:rsidRPr="00E80B79" w:rsidRDefault="00E80B79" w:rsidP="00E80B79"/>
        </w:tc>
        <w:tc>
          <w:tcPr>
            <w:tcW w:w="1300" w:type="dxa"/>
            <w:tcBorders>
              <w:top w:val="nil"/>
              <w:left w:val="nil"/>
              <w:bottom w:val="nil"/>
              <w:right w:val="nil"/>
            </w:tcBorders>
          </w:tcPr>
          <w:p w14:paraId="792C71F1" w14:textId="77777777" w:rsidR="00E80B79" w:rsidRPr="00E80B79" w:rsidRDefault="00E80B79" w:rsidP="00E80B79">
            <w:r w:rsidRPr="00E80B79">
              <w:t xml:space="preserve">$18,360 </w:t>
            </w:r>
          </w:p>
        </w:tc>
      </w:tr>
      <w:tr w:rsidR="00E80B79" w:rsidRPr="00E80B79" w14:paraId="3C403406" w14:textId="77777777">
        <w:tblPrEx>
          <w:tblCellMar>
            <w:top w:w="0" w:type="dxa"/>
            <w:bottom w:w="0" w:type="dxa"/>
          </w:tblCellMar>
        </w:tblPrEx>
        <w:trPr>
          <w:trHeight w:val="300"/>
        </w:trPr>
        <w:tc>
          <w:tcPr>
            <w:tcW w:w="2600" w:type="dxa"/>
            <w:hMerge w:val="restart"/>
            <w:tcBorders>
              <w:top w:val="nil"/>
              <w:left w:val="nil"/>
              <w:bottom w:val="nil"/>
              <w:right w:val="nil"/>
            </w:tcBorders>
          </w:tcPr>
          <w:p w14:paraId="0892A096" w14:textId="77777777" w:rsidR="00E80B79" w:rsidRPr="00E80B79" w:rsidRDefault="00E80B79" w:rsidP="00E80B79">
            <w:r w:rsidRPr="00E80B79">
              <w:t>Undergraduate Student Staff</w:t>
            </w:r>
          </w:p>
        </w:tc>
        <w:tc>
          <w:tcPr>
            <w:gridSpan w:val="3"/>
            <w:hMerge/>
            <w:tcBorders>
              <w:top w:val="nil"/>
              <w:left w:val="nil"/>
              <w:bottom w:val="nil"/>
              <w:right w:val="nil"/>
            </w:tcBorders>
          </w:tcPr>
          <w:p w14:paraId="7C2749B2" w14:textId="77777777" w:rsidR="00E80B79" w:rsidRPr="00E80B79" w:rsidRDefault="00E80B79" w:rsidP="00E80B79"/>
        </w:tc>
        <w:tc>
          <w:tcPr>
            <w:tcW w:w="1300" w:type="dxa"/>
            <w:gridSpan w:val="2"/>
            <w:tcBorders>
              <w:top w:val="nil"/>
              <w:left w:val="nil"/>
              <w:bottom w:val="nil"/>
              <w:right w:val="nil"/>
            </w:tcBorders>
          </w:tcPr>
          <w:p w14:paraId="0A431C24" w14:textId="77777777" w:rsidR="00E80B79" w:rsidRPr="00E80B79" w:rsidRDefault="00E80B79" w:rsidP="00E80B79">
            <w:r w:rsidRPr="00E80B79">
              <w:t xml:space="preserve">$8,000 </w:t>
            </w:r>
          </w:p>
        </w:tc>
        <w:tc>
          <w:tcPr>
            <w:tcW w:w="1300" w:type="dxa"/>
            <w:tcBorders>
              <w:top w:val="nil"/>
              <w:left w:val="nil"/>
              <w:bottom w:val="nil"/>
              <w:right w:val="nil"/>
            </w:tcBorders>
          </w:tcPr>
          <w:p w14:paraId="4B9B48E6" w14:textId="77777777" w:rsidR="00E80B79" w:rsidRPr="00E80B79" w:rsidRDefault="00E80B79" w:rsidP="00E80B79"/>
        </w:tc>
        <w:tc>
          <w:tcPr>
            <w:tcW w:w="1300" w:type="dxa"/>
            <w:tcBorders>
              <w:top w:val="nil"/>
              <w:left w:val="nil"/>
              <w:bottom w:val="nil"/>
              <w:right w:val="nil"/>
            </w:tcBorders>
          </w:tcPr>
          <w:p w14:paraId="1F4885C2" w14:textId="77777777" w:rsidR="00E80B79" w:rsidRPr="00E80B79" w:rsidRDefault="00E80B79" w:rsidP="00E80B79">
            <w:r w:rsidRPr="00E80B79">
              <w:t xml:space="preserve">$8,160 </w:t>
            </w:r>
          </w:p>
        </w:tc>
      </w:tr>
      <w:tr w:rsidR="00E80B79" w:rsidRPr="00E80B79" w14:paraId="08F5A1E1" w14:textId="77777777">
        <w:tblPrEx>
          <w:tblCellMar>
            <w:top w:w="0" w:type="dxa"/>
            <w:bottom w:w="0" w:type="dxa"/>
          </w:tblCellMar>
        </w:tblPrEx>
        <w:trPr>
          <w:trHeight w:val="300"/>
        </w:trPr>
        <w:tc>
          <w:tcPr>
            <w:tcW w:w="2600" w:type="dxa"/>
            <w:hMerge w:val="restart"/>
            <w:tcBorders>
              <w:top w:val="nil"/>
              <w:left w:val="nil"/>
              <w:bottom w:val="nil"/>
              <w:right w:val="nil"/>
            </w:tcBorders>
          </w:tcPr>
          <w:p w14:paraId="0618AE23" w14:textId="77777777" w:rsidR="00E80B79" w:rsidRPr="00E80B79" w:rsidRDefault="00E80B79" w:rsidP="00E80B79">
            <w:r w:rsidRPr="00E80B79">
              <w:t>Event Specialist</w:t>
            </w:r>
          </w:p>
        </w:tc>
        <w:tc>
          <w:tcPr>
            <w:gridSpan w:val="3"/>
            <w:hMerge/>
            <w:tcBorders>
              <w:top w:val="nil"/>
              <w:left w:val="nil"/>
              <w:bottom w:val="nil"/>
              <w:right w:val="nil"/>
            </w:tcBorders>
          </w:tcPr>
          <w:p w14:paraId="7BDD3407" w14:textId="77777777" w:rsidR="00E80B79" w:rsidRPr="00E80B79" w:rsidRDefault="00E80B79" w:rsidP="00E80B79"/>
        </w:tc>
        <w:tc>
          <w:tcPr>
            <w:tcW w:w="1300" w:type="dxa"/>
            <w:gridSpan w:val="2"/>
            <w:tcBorders>
              <w:top w:val="nil"/>
              <w:left w:val="nil"/>
              <w:bottom w:val="nil"/>
              <w:right w:val="nil"/>
            </w:tcBorders>
          </w:tcPr>
          <w:p w14:paraId="7021DD09" w14:textId="77777777" w:rsidR="00E80B79" w:rsidRPr="00E80B79" w:rsidRDefault="00E80B79" w:rsidP="00E80B79">
            <w:r w:rsidRPr="00E80B79">
              <w:t xml:space="preserve">$12,000 </w:t>
            </w:r>
          </w:p>
        </w:tc>
        <w:tc>
          <w:tcPr>
            <w:tcW w:w="1300" w:type="dxa"/>
            <w:tcBorders>
              <w:top w:val="nil"/>
              <w:left w:val="nil"/>
              <w:bottom w:val="nil"/>
              <w:right w:val="nil"/>
            </w:tcBorders>
          </w:tcPr>
          <w:p w14:paraId="5E29A312" w14:textId="77777777" w:rsidR="00E80B79" w:rsidRPr="00E80B79" w:rsidRDefault="00E80B79" w:rsidP="00E80B79"/>
        </w:tc>
        <w:tc>
          <w:tcPr>
            <w:tcW w:w="1300" w:type="dxa"/>
            <w:tcBorders>
              <w:top w:val="nil"/>
              <w:left w:val="nil"/>
              <w:bottom w:val="nil"/>
              <w:right w:val="nil"/>
            </w:tcBorders>
          </w:tcPr>
          <w:p w14:paraId="7E61CCAA" w14:textId="77777777" w:rsidR="00E80B79" w:rsidRPr="00E80B79" w:rsidRDefault="00E80B79" w:rsidP="00E80B79">
            <w:r w:rsidRPr="00E80B79">
              <w:t xml:space="preserve">$12,240 </w:t>
            </w:r>
          </w:p>
        </w:tc>
      </w:tr>
      <w:tr w:rsidR="00E80B79" w:rsidRPr="00E80B79" w14:paraId="09246BA5" w14:textId="77777777">
        <w:tblPrEx>
          <w:tblCellMar>
            <w:top w:w="0" w:type="dxa"/>
            <w:bottom w:w="0" w:type="dxa"/>
          </w:tblCellMar>
        </w:tblPrEx>
        <w:trPr>
          <w:trHeight w:val="300"/>
        </w:trPr>
        <w:tc>
          <w:tcPr>
            <w:tcW w:w="1300" w:type="dxa"/>
            <w:gridSpan w:val="3"/>
            <w:tcBorders>
              <w:top w:val="nil"/>
              <w:left w:val="nil"/>
              <w:bottom w:val="nil"/>
              <w:right w:val="nil"/>
            </w:tcBorders>
          </w:tcPr>
          <w:p w14:paraId="524FDBA0" w14:textId="77777777" w:rsidR="00E80B79" w:rsidRPr="00E80B79" w:rsidRDefault="00E80B79" w:rsidP="00E80B79">
            <w:r w:rsidRPr="00E80B79">
              <w:t>Total</w:t>
            </w:r>
          </w:p>
        </w:tc>
        <w:tc>
          <w:tcPr>
            <w:tcW w:w="1300" w:type="dxa"/>
            <w:tcBorders>
              <w:top w:val="nil"/>
              <w:left w:val="nil"/>
              <w:bottom w:val="nil"/>
              <w:right w:val="nil"/>
            </w:tcBorders>
          </w:tcPr>
          <w:p w14:paraId="5CA96D61" w14:textId="77777777" w:rsidR="00E80B79" w:rsidRPr="00E80B79" w:rsidRDefault="00E80B79" w:rsidP="00E80B79"/>
        </w:tc>
        <w:tc>
          <w:tcPr>
            <w:tcW w:w="1300" w:type="dxa"/>
            <w:gridSpan w:val="2"/>
            <w:tcBorders>
              <w:top w:val="nil"/>
              <w:left w:val="nil"/>
              <w:bottom w:val="nil"/>
              <w:right w:val="nil"/>
            </w:tcBorders>
          </w:tcPr>
          <w:p w14:paraId="6AD5FD6C" w14:textId="77777777" w:rsidR="00E80B79" w:rsidRPr="00E80B79" w:rsidRDefault="00E80B79" w:rsidP="00E80B79">
            <w:r w:rsidRPr="00E80B79">
              <w:t xml:space="preserve">$38,000 </w:t>
            </w:r>
          </w:p>
        </w:tc>
        <w:tc>
          <w:tcPr>
            <w:tcW w:w="1300" w:type="dxa"/>
            <w:tcBorders>
              <w:top w:val="nil"/>
              <w:left w:val="nil"/>
              <w:bottom w:val="nil"/>
              <w:right w:val="nil"/>
            </w:tcBorders>
          </w:tcPr>
          <w:p w14:paraId="2E681A9C" w14:textId="77777777" w:rsidR="00E80B79" w:rsidRPr="00E80B79" w:rsidRDefault="00E80B79" w:rsidP="00E80B79"/>
        </w:tc>
        <w:tc>
          <w:tcPr>
            <w:tcW w:w="1300" w:type="dxa"/>
            <w:tcBorders>
              <w:top w:val="nil"/>
              <w:left w:val="nil"/>
              <w:bottom w:val="nil"/>
              <w:right w:val="nil"/>
            </w:tcBorders>
          </w:tcPr>
          <w:p w14:paraId="6AD1AE9B" w14:textId="77777777" w:rsidR="00E80B79" w:rsidRPr="00E80B79" w:rsidRDefault="00E80B79" w:rsidP="00E80B79">
            <w:r w:rsidRPr="00E80B79">
              <w:t xml:space="preserve">$38,760 </w:t>
            </w:r>
          </w:p>
        </w:tc>
      </w:tr>
      <w:tr w:rsidR="00E80B79" w:rsidRPr="00E80B79" w14:paraId="42A99AB4" w14:textId="77777777">
        <w:tblPrEx>
          <w:tblCellMar>
            <w:top w:w="0" w:type="dxa"/>
            <w:bottom w:w="0" w:type="dxa"/>
          </w:tblCellMar>
        </w:tblPrEx>
        <w:trPr>
          <w:trHeight w:val="300"/>
        </w:trPr>
        <w:tc>
          <w:tcPr>
            <w:tcW w:w="1300" w:type="dxa"/>
            <w:gridSpan w:val="3"/>
            <w:tcBorders>
              <w:top w:val="nil"/>
              <w:left w:val="nil"/>
              <w:bottom w:val="nil"/>
              <w:right w:val="nil"/>
            </w:tcBorders>
          </w:tcPr>
          <w:p w14:paraId="55424BD1" w14:textId="77777777" w:rsidR="00E80B79" w:rsidRPr="00E80B79" w:rsidRDefault="00E80B79" w:rsidP="00E80B79"/>
        </w:tc>
        <w:tc>
          <w:tcPr>
            <w:tcW w:w="1300" w:type="dxa"/>
            <w:tcBorders>
              <w:top w:val="nil"/>
              <w:left w:val="nil"/>
              <w:bottom w:val="nil"/>
              <w:right w:val="nil"/>
            </w:tcBorders>
          </w:tcPr>
          <w:p w14:paraId="6B637793" w14:textId="77777777" w:rsidR="00E80B79" w:rsidRPr="00E80B79" w:rsidRDefault="00E80B79" w:rsidP="00E80B79"/>
        </w:tc>
        <w:tc>
          <w:tcPr>
            <w:tcW w:w="1300" w:type="dxa"/>
            <w:gridSpan w:val="2"/>
            <w:tcBorders>
              <w:top w:val="nil"/>
              <w:left w:val="nil"/>
              <w:bottom w:val="nil"/>
              <w:right w:val="nil"/>
            </w:tcBorders>
          </w:tcPr>
          <w:p w14:paraId="61EF3CC2" w14:textId="77777777" w:rsidR="00E80B79" w:rsidRPr="00E80B79" w:rsidRDefault="00E80B79" w:rsidP="00E80B79"/>
        </w:tc>
        <w:tc>
          <w:tcPr>
            <w:tcW w:w="1300" w:type="dxa"/>
            <w:tcBorders>
              <w:top w:val="nil"/>
              <w:left w:val="nil"/>
              <w:bottom w:val="nil"/>
              <w:right w:val="nil"/>
            </w:tcBorders>
          </w:tcPr>
          <w:p w14:paraId="31FAD025" w14:textId="77777777" w:rsidR="00E80B79" w:rsidRPr="00E80B79" w:rsidRDefault="00E80B79" w:rsidP="00E80B79"/>
        </w:tc>
        <w:tc>
          <w:tcPr>
            <w:tcW w:w="1300" w:type="dxa"/>
            <w:tcBorders>
              <w:top w:val="nil"/>
              <w:left w:val="nil"/>
              <w:bottom w:val="nil"/>
              <w:right w:val="nil"/>
            </w:tcBorders>
          </w:tcPr>
          <w:p w14:paraId="7E0FE3F8" w14:textId="77777777" w:rsidR="00E80B79" w:rsidRPr="00E80B79" w:rsidRDefault="00E80B79" w:rsidP="00E80B79"/>
        </w:tc>
      </w:tr>
      <w:tr w:rsidR="00E80B79" w:rsidRPr="00E80B79" w14:paraId="5DD01E34" w14:textId="77777777">
        <w:tblPrEx>
          <w:tblCellMar>
            <w:top w:w="0" w:type="dxa"/>
            <w:bottom w:w="0" w:type="dxa"/>
          </w:tblCellMar>
        </w:tblPrEx>
        <w:trPr>
          <w:trHeight w:val="300"/>
        </w:trPr>
        <w:tc>
          <w:tcPr>
            <w:tcW w:w="2600" w:type="dxa"/>
            <w:hMerge w:val="restart"/>
            <w:tcBorders>
              <w:top w:val="nil"/>
              <w:left w:val="nil"/>
              <w:bottom w:val="nil"/>
              <w:right w:val="nil"/>
            </w:tcBorders>
          </w:tcPr>
          <w:p w14:paraId="7FA0BDBC" w14:textId="77777777" w:rsidR="00E80B79" w:rsidRPr="00E80B79" w:rsidRDefault="00E80B79" w:rsidP="00E80B79">
            <w:pPr>
              <w:rPr>
                <w:b/>
                <w:bCs/>
              </w:rPr>
            </w:pPr>
            <w:r w:rsidRPr="00E80B79">
              <w:rPr>
                <w:b/>
                <w:bCs/>
              </w:rPr>
              <w:t>Operational Costs</w:t>
            </w:r>
          </w:p>
        </w:tc>
        <w:tc>
          <w:tcPr>
            <w:gridSpan w:val="3"/>
            <w:hMerge/>
            <w:tcBorders>
              <w:top w:val="nil"/>
              <w:left w:val="nil"/>
              <w:bottom w:val="nil"/>
              <w:right w:val="nil"/>
            </w:tcBorders>
          </w:tcPr>
          <w:p w14:paraId="549BC709" w14:textId="77777777" w:rsidR="00E80B79" w:rsidRPr="00E80B79" w:rsidRDefault="00E80B79" w:rsidP="00E80B79"/>
        </w:tc>
        <w:tc>
          <w:tcPr>
            <w:tcW w:w="1300" w:type="dxa"/>
            <w:gridSpan w:val="2"/>
            <w:tcBorders>
              <w:top w:val="nil"/>
              <w:left w:val="nil"/>
              <w:bottom w:val="nil"/>
              <w:right w:val="nil"/>
            </w:tcBorders>
          </w:tcPr>
          <w:p w14:paraId="772F9A47" w14:textId="77777777" w:rsidR="00E80B79" w:rsidRPr="00E80B79" w:rsidRDefault="00E80B79" w:rsidP="00E80B79"/>
        </w:tc>
        <w:tc>
          <w:tcPr>
            <w:tcW w:w="1300" w:type="dxa"/>
            <w:tcBorders>
              <w:top w:val="nil"/>
              <w:left w:val="nil"/>
              <w:bottom w:val="nil"/>
              <w:right w:val="nil"/>
            </w:tcBorders>
          </w:tcPr>
          <w:p w14:paraId="783E9937" w14:textId="77777777" w:rsidR="00E80B79" w:rsidRPr="00E80B79" w:rsidRDefault="00E80B79" w:rsidP="00E80B79"/>
        </w:tc>
        <w:tc>
          <w:tcPr>
            <w:tcW w:w="1300" w:type="dxa"/>
            <w:tcBorders>
              <w:top w:val="nil"/>
              <w:left w:val="nil"/>
              <w:bottom w:val="nil"/>
              <w:right w:val="nil"/>
            </w:tcBorders>
          </w:tcPr>
          <w:p w14:paraId="1488C3E6" w14:textId="77777777" w:rsidR="00E80B79" w:rsidRPr="00E80B79" w:rsidRDefault="00E80B79" w:rsidP="00E80B79"/>
        </w:tc>
      </w:tr>
      <w:tr w:rsidR="00E80B79" w:rsidRPr="00E80B79" w14:paraId="0B6BF51B" w14:textId="77777777">
        <w:tblPrEx>
          <w:tblCellMar>
            <w:top w:w="0" w:type="dxa"/>
            <w:bottom w:w="0" w:type="dxa"/>
          </w:tblCellMar>
        </w:tblPrEx>
        <w:trPr>
          <w:trHeight w:val="300"/>
        </w:trPr>
        <w:tc>
          <w:tcPr>
            <w:tcW w:w="2600" w:type="dxa"/>
            <w:hMerge w:val="restart"/>
            <w:tcBorders>
              <w:top w:val="nil"/>
              <w:left w:val="nil"/>
              <w:bottom w:val="nil"/>
              <w:right w:val="nil"/>
            </w:tcBorders>
          </w:tcPr>
          <w:p w14:paraId="14238DF4" w14:textId="77777777" w:rsidR="00E80B79" w:rsidRPr="00E80B79" w:rsidRDefault="00E80B79" w:rsidP="00E80B79">
            <w:r w:rsidRPr="00E80B79">
              <w:t>Office Supplies</w:t>
            </w:r>
          </w:p>
        </w:tc>
        <w:tc>
          <w:tcPr>
            <w:gridSpan w:val="3"/>
            <w:hMerge/>
            <w:tcBorders>
              <w:top w:val="nil"/>
              <w:left w:val="nil"/>
              <w:bottom w:val="nil"/>
              <w:right w:val="nil"/>
            </w:tcBorders>
          </w:tcPr>
          <w:p w14:paraId="3309940C" w14:textId="77777777" w:rsidR="00E80B79" w:rsidRPr="00E80B79" w:rsidRDefault="00E80B79" w:rsidP="00E80B79"/>
        </w:tc>
        <w:tc>
          <w:tcPr>
            <w:tcW w:w="1300" w:type="dxa"/>
            <w:gridSpan w:val="2"/>
            <w:tcBorders>
              <w:top w:val="nil"/>
              <w:left w:val="nil"/>
              <w:bottom w:val="nil"/>
              <w:right w:val="nil"/>
            </w:tcBorders>
          </w:tcPr>
          <w:p w14:paraId="11815200" w14:textId="77777777" w:rsidR="00E80B79" w:rsidRPr="00E80B79" w:rsidRDefault="00E80B79" w:rsidP="00E80B79">
            <w:r w:rsidRPr="00E80B79">
              <w:t xml:space="preserve">$3,000 </w:t>
            </w:r>
          </w:p>
        </w:tc>
        <w:tc>
          <w:tcPr>
            <w:tcW w:w="1300" w:type="dxa"/>
            <w:tcBorders>
              <w:top w:val="nil"/>
              <w:left w:val="nil"/>
              <w:bottom w:val="nil"/>
              <w:right w:val="nil"/>
            </w:tcBorders>
          </w:tcPr>
          <w:p w14:paraId="293381F9" w14:textId="77777777" w:rsidR="00E80B79" w:rsidRPr="00E80B79" w:rsidRDefault="00E80B79" w:rsidP="00E80B79"/>
        </w:tc>
        <w:tc>
          <w:tcPr>
            <w:tcW w:w="1300" w:type="dxa"/>
            <w:tcBorders>
              <w:top w:val="nil"/>
              <w:left w:val="nil"/>
              <w:bottom w:val="nil"/>
              <w:right w:val="nil"/>
            </w:tcBorders>
          </w:tcPr>
          <w:p w14:paraId="380DFB3C" w14:textId="77777777" w:rsidR="00E80B79" w:rsidRPr="00E80B79" w:rsidRDefault="00E80B79" w:rsidP="00E80B79">
            <w:r w:rsidRPr="00E80B79">
              <w:t xml:space="preserve">$3,030 </w:t>
            </w:r>
          </w:p>
        </w:tc>
      </w:tr>
      <w:tr w:rsidR="00E80B79" w:rsidRPr="00E80B79" w14:paraId="647B7A05" w14:textId="77777777">
        <w:tblPrEx>
          <w:tblCellMar>
            <w:top w:w="0" w:type="dxa"/>
            <w:bottom w:w="0" w:type="dxa"/>
          </w:tblCellMar>
        </w:tblPrEx>
        <w:trPr>
          <w:trHeight w:val="300"/>
        </w:trPr>
        <w:tc>
          <w:tcPr>
            <w:tcW w:w="2600" w:type="dxa"/>
            <w:hMerge w:val="restart"/>
            <w:tcBorders>
              <w:top w:val="nil"/>
              <w:left w:val="nil"/>
              <w:bottom w:val="nil"/>
              <w:right w:val="nil"/>
            </w:tcBorders>
          </w:tcPr>
          <w:p w14:paraId="47A6CB26" w14:textId="77777777" w:rsidR="00E80B79" w:rsidRPr="00E80B79" w:rsidRDefault="00E80B79" w:rsidP="00E80B79">
            <w:r w:rsidRPr="00E80B79">
              <w:t>Technology &amp; Software</w:t>
            </w:r>
          </w:p>
        </w:tc>
        <w:tc>
          <w:tcPr>
            <w:gridSpan w:val="3"/>
            <w:hMerge/>
            <w:tcBorders>
              <w:top w:val="nil"/>
              <w:left w:val="nil"/>
              <w:bottom w:val="nil"/>
              <w:right w:val="nil"/>
            </w:tcBorders>
          </w:tcPr>
          <w:p w14:paraId="64CC4F70" w14:textId="77777777" w:rsidR="00E80B79" w:rsidRPr="00E80B79" w:rsidRDefault="00E80B79" w:rsidP="00E80B79"/>
        </w:tc>
        <w:tc>
          <w:tcPr>
            <w:tcW w:w="1300" w:type="dxa"/>
            <w:gridSpan w:val="2"/>
            <w:tcBorders>
              <w:top w:val="nil"/>
              <w:left w:val="nil"/>
              <w:bottom w:val="nil"/>
              <w:right w:val="nil"/>
            </w:tcBorders>
          </w:tcPr>
          <w:p w14:paraId="0D106557" w14:textId="77777777" w:rsidR="00E80B79" w:rsidRPr="00E80B79" w:rsidRDefault="00E80B79" w:rsidP="00E80B79">
            <w:r w:rsidRPr="00E80B79">
              <w:t xml:space="preserve">$5,000 </w:t>
            </w:r>
          </w:p>
        </w:tc>
        <w:tc>
          <w:tcPr>
            <w:tcW w:w="1300" w:type="dxa"/>
            <w:tcBorders>
              <w:top w:val="nil"/>
              <w:left w:val="nil"/>
              <w:bottom w:val="nil"/>
              <w:right w:val="nil"/>
            </w:tcBorders>
          </w:tcPr>
          <w:p w14:paraId="490C726D" w14:textId="77777777" w:rsidR="00E80B79" w:rsidRPr="00E80B79" w:rsidRDefault="00E80B79" w:rsidP="00E80B79"/>
        </w:tc>
        <w:tc>
          <w:tcPr>
            <w:tcW w:w="1300" w:type="dxa"/>
            <w:tcBorders>
              <w:top w:val="nil"/>
              <w:left w:val="nil"/>
              <w:bottom w:val="nil"/>
              <w:right w:val="nil"/>
            </w:tcBorders>
          </w:tcPr>
          <w:p w14:paraId="7D8EA5CC" w14:textId="77777777" w:rsidR="00E80B79" w:rsidRPr="00E80B79" w:rsidRDefault="00E80B79" w:rsidP="00E80B79">
            <w:r w:rsidRPr="00E80B79">
              <w:t xml:space="preserve">$5,050 </w:t>
            </w:r>
          </w:p>
        </w:tc>
      </w:tr>
      <w:tr w:rsidR="00E80B79" w:rsidRPr="00E80B79" w14:paraId="0015AB39" w14:textId="77777777">
        <w:tblPrEx>
          <w:tblCellMar>
            <w:top w:w="0" w:type="dxa"/>
            <w:bottom w:w="0" w:type="dxa"/>
          </w:tblCellMar>
        </w:tblPrEx>
        <w:trPr>
          <w:trHeight w:val="300"/>
        </w:trPr>
        <w:tc>
          <w:tcPr>
            <w:tcW w:w="2600" w:type="dxa"/>
            <w:hMerge w:val="restart"/>
            <w:tcBorders>
              <w:top w:val="nil"/>
              <w:left w:val="nil"/>
              <w:bottom w:val="nil"/>
              <w:right w:val="nil"/>
            </w:tcBorders>
          </w:tcPr>
          <w:p w14:paraId="7004F5D8" w14:textId="77777777" w:rsidR="00E80B79" w:rsidRPr="00E80B79" w:rsidRDefault="00E80B79" w:rsidP="00E80B79">
            <w:r w:rsidRPr="00E80B79">
              <w:t>Outreach Materials</w:t>
            </w:r>
          </w:p>
        </w:tc>
        <w:tc>
          <w:tcPr>
            <w:gridSpan w:val="3"/>
            <w:hMerge/>
            <w:tcBorders>
              <w:top w:val="nil"/>
              <w:left w:val="nil"/>
              <w:bottom w:val="nil"/>
              <w:right w:val="nil"/>
            </w:tcBorders>
          </w:tcPr>
          <w:p w14:paraId="09584C1E" w14:textId="77777777" w:rsidR="00E80B79" w:rsidRPr="00E80B79" w:rsidRDefault="00E80B79" w:rsidP="00E80B79"/>
        </w:tc>
        <w:tc>
          <w:tcPr>
            <w:tcW w:w="1300" w:type="dxa"/>
            <w:gridSpan w:val="2"/>
            <w:tcBorders>
              <w:top w:val="nil"/>
              <w:left w:val="nil"/>
              <w:bottom w:val="nil"/>
              <w:right w:val="nil"/>
            </w:tcBorders>
          </w:tcPr>
          <w:p w14:paraId="1B6CDD10" w14:textId="77777777" w:rsidR="00E80B79" w:rsidRPr="00E80B79" w:rsidRDefault="00E80B79" w:rsidP="00E80B79">
            <w:r w:rsidRPr="00E80B79">
              <w:t xml:space="preserve">$4,000 </w:t>
            </w:r>
          </w:p>
        </w:tc>
        <w:tc>
          <w:tcPr>
            <w:tcW w:w="1300" w:type="dxa"/>
            <w:tcBorders>
              <w:top w:val="nil"/>
              <w:left w:val="nil"/>
              <w:bottom w:val="nil"/>
              <w:right w:val="nil"/>
            </w:tcBorders>
          </w:tcPr>
          <w:p w14:paraId="3A697133" w14:textId="77777777" w:rsidR="00E80B79" w:rsidRPr="00E80B79" w:rsidRDefault="00E80B79" w:rsidP="00E80B79"/>
        </w:tc>
        <w:tc>
          <w:tcPr>
            <w:tcW w:w="1300" w:type="dxa"/>
            <w:tcBorders>
              <w:top w:val="nil"/>
              <w:left w:val="nil"/>
              <w:bottom w:val="nil"/>
              <w:right w:val="nil"/>
            </w:tcBorders>
          </w:tcPr>
          <w:p w14:paraId="7A2888D1" w14:textId="77777777" w:rsidR="00E80B79" w:rsidRPr="00E80B79" w:rsidRDefault="00E80B79" w:rsidP="00E80B79">
            <w:r w:rsidRPr="00E80B79">
              <w:t xml:space="preserve">$4,040 </w:t>
            </w:r>
          </w:p>
        </w:tc>
      </w:tr>
      <w:tr w:rsidR="00E80B79" w:rsidRPr="00E80B79" w14:paraId="7F71ABA2" w14:textId="77777777">
        <w:tblPrEx>
          <w:tblCellMar>
            <w:top w:w="0" w:type="dxa"/>
            <w:bottom w:w="0" w:type="dxa"/>
          </w:tblCellMar>
        </w:tblPrEx>
        <w:trPr>
          <w:trHeight w:val="300"/>
        </w:trPr>
        <w:tc>
          <w:tcPr>
            <w:tcW w:w="1300" w:type="dxa"/>
            <w:gridSpan w:val="3"/>
            <w:tcBorders>
              <w:top w:val="nil"/>
              <w:left w:val="nil"/>
              <w:bottom w:val="nil"/>
              <w:right w:val="nil"/>
            </w:tcBorders>
          </w:tcPr>
          <w:p w14:paraId="5A564F65" w14:textId="77777777" w:rsidR="00E80B79" w:rsidRPr="00E80B79" w:rsidRDefault="00E80B79" w:rsidP="00E80B79">
            <w:r w:rsidRPr="00E80B79">
              <w:t>Total</w:t>
            </w:r>
          </w:p>
        </w:tc>
        <w:tc>
          <w:tcPr>
            <w:tcW w:w="1300" w:type="dxa"/>
            <w:tcBorders>
              <w:top w:val="nil"/>
              <w:left w:val="nil"/>
              <w:bottom w:val="nil"/>
              <w:right w:val="nil"/>
            </w:tcBorders>
          </w:tcPr>
          <w:p w14:paraId="3C30BD8B" w14:textId="77777777" w:rsidR="00E80B79" w:rsidRPr="00E80B79" w:rsidRDefault="00E80B79" w:rsidP="00E80B79"/>
        </w:tc>
        <w:tc>
          <w:tcPr>
            <w:tcW w:w="1300" w:type="dxa"/>
            <w:gridSpan w:val="2"/>
            <w:tcBorders>
              <w:top w:val="nil"/>
              <w:left w:val="nil"/>
              <w:bottom w:val="nil"/>
              <w:right w:val="nil"/>
            </w:tcBorders>
          </w:tcPr>
          <w:p w14:paraId="34E45B88" w14:textId="77777777" w:rsidR="00E80B79" w:rsidRPr="00E80B79" w:rsidRDefault="00E80B79" w:rsidP="00E80B79">
            <w:r w:rsidRPr="00E80B79">
              <w:t xml:space="preserve">$12,000 </w:t>
            </w:r>
          </w:p>
        </w:tc>
        <w:tc>
          <w:tcPr>
            <w:tcW w:w="1300" w:type="dxa"/>
            <w:tcBorders>
              <w:top w:val="nil"/>
              <w:left w:val="nil"/>
              <w:bottom w:val="nil"/>
              <w:right w:val="nil"/>
            </w:tcBorders>
          </w:tcPr>
          <w:p w14:paraId="379848AC" w14:textId="77777777" w:rsidR="00E80B79" w:rsidRPr="00E80B79" w:rsidRDefault="00E80B79" w:rsidP="00E80B79"/>
        </w:tc>
        <w:tc>
          <w:tcPr>
            <w:tcW w:w="1300" w:type="dxa"/>
            <w:tcBorders>
              <w:top w:val="nil"/>
              <w:left w:val="nil"/>
              <w:bottom w:val="nil"/>
              <w:right w:val="nil"/>
            </w:tcBorders>
          </w:tcPr>
          <w:p w14:paraId="6828C746" w14:textId="77777777" w:rsidR="00E80B79" w:rsidRPr="00E80B79" w:rsidRDefault="00E80B79" w:rsidP="00E80B79">
            <w:r w:rsidRPr="00E80B79">
              <w:t xml:space="preserve">$12,120 </w:t>
            </w:r>
          </w:p>
        </w:tc>
      </w:tr>
      <w:tr w:rsidR="00E80B79" w:rsidRPr="00E80B79" w14:paraId="5B5F9BA9" w14:textId="77777777">
        <w:tblPrEx>
          <w:tblCellMar>
            <w:top w:w="0" w:type="dxa"/>
            <w:bottom w:w="0" w:type="dxa"/>
          </w:tblCellMar>
        </w:tblPrEx>
        <w:trPr>
          <w:trHeight w:val="300"/>
        </w:trPr>
        <w:tc>
          <w:tcPr>
            <w:tcW w:w="1300" w:type="dxa"/>
            <w:gridSpan w:val="3"/>
            <w:tcBorders>
              <w:top w:val="nil"/>
              <w:left w:val="nil"/>
              <w:bottom w:val="nil"/>
              <w:right w:val="nil"/>
            </w:tcBorders>
          </w:tcPr>
          <w:p w14:paraId="46D25293" w14:textId="77777777" w:rsidR="00E80B79" w:rsidRPr="00E80B79" w:rsidRDefault="00E80B79" w:rsidP="00E80B79"/>
        </w:tc>
        <w:tc>
          <w:tcPr>
            <w:tcW w:w="1300" w:type="dxa"/>
            <w:tcBorders>
              <w:top w:val="nil"/>
              <w:left w:val="nil"/>
              <w:bottom w:val="nil"/>
              <w:right w:val="nil"/>
            </w:tcBorders>
          </w:tcPr>
          <w:p w14:paraId="0DB69A76" w14:textId="77777777" w:rsidR="00E80B79" w:rsidRPr="00E80B79" w:rsidRDefault="00E80B79" w:rsidP="00E80B79"/>
        </w:tc>
        <w:tc>
          <w:tcPr>
            <w:tcW w:w="1300" w:type="dxa"/>
            <w:gridSpan w:val="2"/>
            <w:tcBorders>
              <w:top w:val="nil"/>
              <w:left w:val="nil"/>
              <w:bottom w:val="nil"/>
              <w:right w:val="nil"/>
            </w:tcBorders>
          </w:tcPr>
          <w:p w14:paraId="3150582A" w14:textId="77777777" w:rsidR="00E80B79" w:rsidRPr="00E80B79" w:rsidRDefault="00E80B79" w:rsidP="00E80B79"/>
        </w:tc>
        <w:tc>
          <w:tcPr>
            <w:tcW w:w="1300" w:type="dxa"/>
            <w:tcBorders>
              <w:top w:val="nil"/>
              <w:left w:val="nil"/>
              <w:bottom w:val="nil"/>
              <w:right w:val="nil"/>
            </w:tcBorders>
          </w:tcPr>
          <w:p w14:paraId="72531F0B" w14:textId="77777777" w:rsidR="00E80B79" w:rsidRPr="00E80B79" w:rsidRDefault="00E80B79" w:rsidP="00E80B79"/>
        </w:tc>
        <w:tc>
          <w:tcPr>
            <w:tcW w:w="1300" w:type="dxa"/>
            <w:tcBorders>
              <w:top w:val="nil"/>
              <w:left w:val="nil"/>
              <w:bottom w:val="nil"/>
              <w:right w:val="nil"/>
            </w:tcBorders>
          </w:tcPr>
          <w:p w14:paraId="79DAD663" w14:textId="77777777" w:rsidR="00E80B79" w:rsidRPr="00E80B79" w:rsidRDefault="00E80B79" w:rsidP="00E80B79"/>
        </w:tc>
      </w:tr>
      <w:tr w:rsidR="00E80B79" w:rsidRPr="00E80B79" w14:paraId="61FC6347" w14:textId="77777777">
        <w:tblPrEx>
          <w:tblCellMar>
            <w:top w:w="0" w:type="dxa"/>
            <w:bottom w:w="0" w:type="dxa"/>
          </w:tblCellMar>
        </w:tblPrEx>
        <w:trPr>
          <w:trHeight w:val="300"/>
        </w:trPr>
        <w:tc>
          <w:tcPr>
            <w:tcW w:w="3900" w:type="dxa"/>
            <w:hMerge w:val="restart"/>
            <w:tcBorders>
              <w:top w:val="nil"/>
              <w:left w:val="nil"/>
              <w:bottom w:val="nil"/>
              <w:right w:val="nil"/>
            </w:tcBorders>
          </w:tcPr>
          <w:p w14:paraId="7DE37A6F" w14:textId="77777777" w:rsidR="00E80B79" w:rsidRPr="00E80B79" w:rsidRDefault="00E80B79" w:rsidP="00E80B79">
            <w:pPr>
              <w:rPr>
                <w:b/>
                <w:bCs/>
              </w:rPr>
            </w:pPr>
            <w:r w:rsidRPr="00E80B79">
              <w:rPr>
                <w:b/>
                <w:bCs/>
              </w:rPr>
              <w:t>Event &amp; Programming Support</w:t>
            </w:r>
          </w:p>
        </w:tc>
        <w:tc>
          <w:tcPr>
            <w:hMerge/>
            <w:tcBorders>
              <w:top w:val="nil"/>
              <w:left w:val="nil"/>
              <w:bottom w:val="nil"/>
              <w:right w:val="nil"/>
            </w:tcBorders>
          </w:tcPr>
          <w:p w14:paraId="1ADCDE93" w14:textId="77777777" w:rsidR="00E80B79" w:rsidRPr="00E80B79" w:rsidRDefault="00E80B79" w:rsidP="00E80B79"/>
        </w:tc>
        <w:tc>
          <w:tcPr>
            <w:gridSpan w:val="4"/>
            <w:hMerge/>
            <w:tcBorders>
              <w:top w:val="nil"/>
              <w:left w:val="nil"/>
              <w:bottom w:val="nil"/>
              <w:right w:val="nil"/>
            </w:tcBorders>
          </w:tcPr>
          <w:p w14:paraId="265376C2" w14:textId="77777777" w:rsidR="00E80B79" w:rsidRPr="00E80B79" w:rsidRDefault="00E80B79" w:rsidP="00E80B79"/>
        </w:tc>
        <w:tc>
          <w:tcPr>
            <w:tcW w:w="1300" w:type="dxa"/>
            <w:tcBorders>
              <w:top w:val="nil"/>
              <w:left w:val="nil"/>
              <w:bottom w:val="nil"/>
              <w:right w:val="nil"/>
            </w:tcBorders>
          </w:tcPr>
          <w:p w14:paraId="6AFFC3A5" w14:textId="77777777" w:rsidR="00E80B79" w:rsidRPr="00E80B79" w:rsidRDefault="00E80B79" w:rsidP="00E80B79"/>
        </w:tc>
        <w:tc>
          <w:tcPr>
            <w:tcW w:w="1300" w:type="dxa"/>
            <w:tcBorders>
              <w:top w:val="nil"/>
              <w:left w:val="nil"/>
              <w:bottom w:val="nil"/>
              <w:right w:val="nil"/>
            </w:tcBorders>
          </w:tcPr>
          <w:p w14:paraId="7101829B" w14:textId="77777777" w:rsidR="00E80B79" w:rsidRPr="00E80B79" w:rsidRDefault="00E80B79" w:rsidP="00E80B79"/>
        </w:tc>
      </w:tr>
      <w:tr w:rsidR="00E80B79" w:rsidRPr="00E80B79" w14:paraId="7BF5786B" w14:textId="77777777">
        <w:tblPrEx>
          <w:tblCellMar>
            <w:top w:w="0" w:type="dxa"/>
            <w:bottom w:w="0" w:type="dxa"/>
          </w:tblCellMar>
        </w:tblPrEx>
        <w:trPr>
          <w:trHeight w:val="300"/>
        </w:trPr>
        <w:tc>
          <w:tcPr>
            <w:tcW w:w="2600" w:type="dxa"/>
            <w:hMerge w:val="restart"/>
            <w:tcBorders>
              <w:top w:val="nil"/>
              <w:left w:val="nil"/>
              <w:bottom w:val="nil"/>
              <w:right w:val="nil"/>
            </w:tcBorders>
          </w:tcPr>
          <w:p w14:paraId="2A797515" w14:textId="77777777" w:rsidR="00E80B79" w:rsidRPr="00E80B79" w:rsidRDefault="00E80B79" w:rsidP="00E80B79">
            <w:r w:rsidRPr="00E80B79">
              <w:t>Campus Visits</w:t>
            </w:r>
          </w:p>
        </w:tc>
        <w:tc>
          <w:tcPr>
            <w:gridSpan w:val="3"/>
            <w:hMerge/>
            <w:tcBorders>
              <w:top w:val="nil"/>
              <w:left w:val="nil"/>
              <w:bottom w:val="nil"/>
              <w:right w:val="nil"/>
            </w:tcBorders>
          </w:tcPr>
          <w:p w14:paraId="108D7BC0" w14:textId="77777777" w:rsidR="00E80B79" w:rsidRPr="00E80B79" w:rsidRDefault="00E80B79" w:rsidP="00E80B79"/>
        </w:tc>
        <w:tc>
          <w:tcPr>
            <w:tcW w:w="1300" w:type="dxa"/>
            <w:gridSpan w:val="2"/>
            <w:tcBorders>
              <w:top w:val="nil"/>
              <w:left w:val="nil"/>
              <w:bottom w:val="nil"/>
              <w:right w:val="nil"/>
            </w:tcBorders>
          </w:tcPr>
          <w:p w14:paraId="1ED1356A" w14:textId="77777777" w:rsidR="00E80B79" w:rsidRPr="00E80B79" w:rsidRDefault="00E80B79" w:rsidP="00E80B79">
            <w:r w:rsidRPr="00E80B79">
              <w:t xml:space="preserve">$10,000 </w:t>
            </w:r>
          </w:p>
        </w:tc>
        <w:tc>
          <w:tcPr>
            <w:tcW w:w="1300" w:type="dxa"/>
            <w:tcBorders>
              <w:top w:val="nil"/>
              <w:left w:val="nil"/>
              <w:bottom w:val="nil"/>
              <w:right w:val="nil"/>
            </w:tcBorders>
          </w:tcPr>
          <w:p w14:paraId="5AFAF3FB" w14:textId="77777777" w:rsidR="00E80B79" w:rsidRPr="00E80B79" w:rsidRDefault="00E80B79" w:rsidP="00E80B79"/>
        </w:tc>
        <w:tc>
          <w:tcPr>
            <w:tcW w:w="1300" w:type="dxa"/>
            <w:tcBorders>
              <w:top w:val="nil"/>
              <w:left w:val="nil"/>
              <w:bottom w:val="nil"/>
              <w:right w:val="nil"/>
            </w:tcBorders>
          </w:tcPr>
          <w:p w14:paraId="686EC12B" w14:textId="77777777" w:rsidR="00E80B79" w:rsidRPr="00E80B79" w:rsidRDefault="00E80B79" w:rsidP="00E80B79">
            <w:r w:rsidRPr="00E80B79">
              <w:t xml:space="preserve">$10,200 </w:t>
            </w:r>
          </w:p>
        </w:tc>
      </w:tr>
      <w:tr w:rsidR="00E80B79" w:rsidRPr="00E80B79" w14:paraId="67DCD409" w14:textId="77777777">
        <w:tblPrEx>
          <w:tblCellMar>
            <w:top w:w="0" w:type="dxa"/>
            <w:bottom w:w="0" w:type="dxa"/>
          </w:tblCellMar>
        </w:tblPrEx>
        <w:trPr>
          <w:trHeight w:val="300"/>
        </w:trPr>
        <w:tc>
          <w:tcPr>
            <w:tcW w:w="2600" w:type="dxa"/>
            <w:hMerge w:val="restart"/>
            <w:tcBorders>
              <w:top w:val="nil"/>
              <w:left w:val="nil"/>
              <w:bottom w:val="nil"/>
              <w:right w:val="nil"/>
            </w:tcBorders>
          </w:tcPr>
          <w:p w14:paraId="13198CFF" w14:textId="77777777" w:rsidR="00E80B79" w:rsidRPr="00E80B79" w:rsidRDefault="00E80B79" w:rsidP="00E80B79">
            <w:r w:rsidRPr="00E80B79">
              <w:t>Workshops &amp; Leadership Summits</w:t>
            </w:r>
          </w:p>
        </w:tc>
        <w:tc>
          <w:tcPr>
            <w:gridSpan w:val="3"/>
            <w:hMerge/>
            <w:tcBorders>
              <w:top w:val="nil"/>
              <w:left w:val="nil"/>
              <w:bottom w:val="nil"/>
              <w:right w:val="nil"/>
            </w:tcBorders>
          </w:tcPr>
          <w:p w14:paraId="5642CA4F" w14:textId="77777777" w:rsidR="00E80B79" w:rsidRPr="00E80B79" w:rsidRDefault="00E80B79" w:rsidP="00E80B79"/>
        </w:tc>
        <w:tc>
          <w:tcPr>
            <w:tcW w:w="1300" w:type="dxa"/>
            <w:gridSpan w:val="2"/>
            <w:tcBorders>
              <w:top w:val="nil"/>
              <w:left w:val="nil"/>
              <w:bottom w:val="nil"/>
              <w:right w:val="nil"/>
            </w:tcBorders>
          </w:tcPr>
          <w:p w14:paraId="5B5810F7" w14:textId="77777777" w:rsidR="00E80B79" w:rsidRPr="00E80B79" w:rsidRDefault="00E80B79" w:rsidP="00E80B79">
            <w:r w:rsidRPr="00E80B79">
              <w:t xml:space="preserve">$8,000 </w:t>
            </w:r>
          </w:p>
        </w:tc>
        <w:tc>
          <w:tcPr>
            <w:tcW w:w="1300" w:type="dxa"/>
            <w:tcBorders>
              <w:top w:val="nil"/>
              <w:left w:val="nil"/>
              <w:bottom w:val="nil"/>
              <w:right w:val="nil"/>
            </w:tcBorders>
          </w:tcPr>
          <w:p w14:paraId="5C8FAC85" w14:textId="77777777" w:rsidR="00E80B79" w:rsidRPr="00E80B79" w:rsidRDefault="00E80B79" w:rsidP="00E80B79"/>
        </w:tc>
        <w:tc>
          <w:tcPr>
            <w:tcW w:w="1300" w:type="dxa"/>
            <w:tcBorders>
              <w:top w:val="nil"/>
              <w:left w:val="nil"/>
              <w:bottom w:val="nil"/>
              <w:right w:val="nil"/>
            </w:tcBorders>
          </w:tcPr>
          <w:p w14:paraId="0EDA4D86" w14:textId="77777777" w:rsidR="00E80B79" w:rsidRPr="00E80B79" w:rsidRDefault="00E80B79" w:rsidP="00E80B79">
            <w:r w:rsidRPr="00E80B79">
              <w:t xml:space="preserve">$8,160 </w:t>
            </w:r>
          </w:p>
        </w:tc>
      </w:tr>
      <w:tr w:rsidR="00E80B79" w:rsidRPr="00E80B79" w14:paraId="0F878C14" w14:textId="77777777">
        <w:tblPrEx>
          <w:tblCellMar>
            <w:top w:w="0" w:type="dxa"/>
            <w:bottom w:w="0" w:type="dxa"/>
          </w:tblCellMar>
        </w:tblPrEx>
        <w:trPr>
          <w:trHeight w:val="300"/>
        </w:trPr>
        <w:tc>
          <w:tcPr>
            <w:tcW w:w="1300" w:type="dxa"/>
            <w:gridSpan w:val="3"/>
            <w:tcBorders>
              <w:top w:val="nil"/>
              <w:left w:val="nil"/>
              <w:bottom w:val="nil"/>
              <w:right w:val="nil"/>
            </w:tcBorders>
          </w:tcPr>
          <w:p w14:paraId="1DBF4C9E" w14:textId="77777777" w:rsidR="00E80B79" w:rsidRPr="00E80B79" w:rsidRDefault="00E80B79" w:rsidP="00E80B79">
            <w:r w:rsidRPr="00E80B79">
              <w:t>Total</w:t>
            </w:r>
          </w:p>
        </w:tc>
        <w:tc>
          <w:tcPr>
            <w:tcW w:w="1300" w:type="dxa"/>
            <w:tcBorders>
              <w:top w:val="nil"/>
              <w:left w:val="nil"/>
              <w:bottom w:val="nil"/>
              <w:right w:val="nil"/>
            </w:tcBorders>
          </w:tcPr>
          <w:p w14:paraId="4EEAF9BA" w14:textId="77777777" w:rsidR="00E80B79" w:rsidRPr="00E80B79" w:rsidRDefault="00E80B79" w:rsidP="00E80B79"/>
        </w:tc>
        <w:tc>
          <w:tcPr>
            <w:tcW w:w="1300" w:type="dxa"/>
            <w:gridSpan w:val="2"/>
            <w:tcBorders>
              <w:top w:val="nil"/>
              <w:left w:val="nil"/>
              <w:bottom w:val="nil"/>
              <w:right w:val="nil"/>
            </w:tcBorders>
          </w:tcPr>
          <w:p w14:paraId="277B347B" w14:textId="77777777" w:rsidR="00E80B79" w:rsidRPr="00E80B79" w:rsidRDefault="00E80B79" w:rsidP="00E80B79">
            <w:r w:rsidRPr="00E80B79">
              <w:t xml:space="preserve">$18,000 </w:t>
            </w:r>
          </w:p>
        </w:tc>
        <w:tc>
          <w:tcPr>
            <w:tcW w:w="1300" w:type="dxa"/>
            <w:tcBorders>
              <w:top w:val="nil"/>
              <w:left w:val="nil"/>
              <w:bottom w:val="nil"/>
              <w:right w:val="nil"/>
            </w:tcBorders>
          </w:tcPr>
          <w:p w14:paraId="3C991957" w14:textId="77777777" w:rsidR="00E80B79" w:rsidRPr="00E80B79" w:rsidRDefault="00E80B79" w:rsidP="00E80B79"/>
        </w:tc>
        <w:tc>
          <w:tcPr>
            <w:tcW w:w="1300" w:type="dxa"/>
            <w:tcBorders>
              <w:top w:val="nil"/>
              <w:left w:val="nil"/>
              <w:bottom w:val="nil"/>
              <w:right w:val="nil"/>
            </w:tcBorders>
          </w:tcPr>
          <w:p w14:paraId="586E0375" w14:textId="77777777" w:rsidR="00E80B79" w:rsidRPr="00E80B79" w:rsidRDefault="00E80B79" w:rsidP="00E80B79">
            <w:r w:rsidRPr="00E80B79">
              <w:t xml:space="preserve">$18,360 </w:t>
            </w:r>
          </w:p>
        </w:tc>
      </w:tr>
      <w:tr w:rsidR="00E80B79" w:rsidRPr="00E80B79" w14:paraId="7C2DDC3B" w14:textId="77777777">
        <w:tblPrEx>
          <w:tblCellMar>
            <w:top w:w="0" w:type="dxa"/>
            <w:bottom w:w="0" w:type="dxa"/>
          </w:tblCellMar>
        </w:tblPrEx>
        <w:trPr>
          <w:trHeight w:val="300"/>
        </w:trPr>
        <w:tc>
          <w:tcPr>
            <w:tcW w:w="1300" w:type="dxa"/>
            <w:gridSpan w:val="3"/>
            <w:tcBorders>
              <w:top w:val="nil"/>
              <w:left w:val="nil"/>
              <w:bottom w:val="nil"/>
              <w:right w:val="nil"/>
            </w:tcBorders>
          </w:tcPr>
          <w:p w14:paraId="5E15964F" w14:textId="77777777" w:rsidR="00E80B79" w:rsidRPr="00E80B79" w:rsidRDefault="00E80B79" w:rsidP="00E80B79"/>
        </w:tc>
        <w:tc>
          <w:tcPr>
            <w:tcW w:w="1300" w:type="dxa"/>
            <w:tcBorders>
              <w:top w:val="nil"/>
              <w:left w:val="nil"/>
              <w:bottom w:val="nil"/>
              <w:right w:val="nil"/>
            </w:tcBorders>
          </w:tcPr>
          <w:p w14:paraId="7D3433A1" w14:textId="77777777" w:rsidR="00E80B79" w:rsidRPr="00E80B79" w:rsidRDefault="00E80B79" w:rsidP="00E80B79"/>
        </w:tc>
        <w:tc>
          <w:tcPr>
            <w:tcW w:w="1300" w:type="dxa"/>
            <w:gridSpan w:val="2"/>
            <w:tcBorders>
              <w:top w:val="nil"/>
              <w:left w:val="nil"/>
              <w:bottom w:val="nil"/>
              <w:right w:val="nil"/>
            </w:tcBorders>
          </w:tcPr>
          <w:p w14:paraId="56ADAD02" w14:textId="77777777" w:rsidR="00E80B79" w:rsidRPr="00E80B79" w:rsidRDefault="00E80B79" w:rsidP="00E80B79"/>
        </w:tc>
        <w:tc>
          <w:tcPr>
            <w:tcW w:w="1300" w:type="dxa"/>
            <w:tcBorders>
              <w:top w:val="nil"/>
              <w:left w:val="nil"/>
              <w:bottom w:val="nil"/>
              <w:right w:val="nil"/>
            </w:tcBorders>
          </w:tcPr>
          <w:p w14:paraId="5FD319F0" w14:textId="77777777" w:rsidR="00E80B79" w:rsidRPr="00E80B79" w:rsidRDefault="00E80B79" w:rsidP="00E80B79"/>
        </w:tc>
        <w:tc>
          <w:tcPr>
            <w:tcW w:w="1300" w:type="dxa"/>
            <w:tcBorders>
              <w:top w:val="nil"/>
              <w:left w:val="nil"/>
              <w:bottom w:val="nil"/>
              <w:right w:val="nil"/>
            </w:tcBorders>
          </w:tcPr>
          <w:p w14:paraId="409701D3" w14:textId="77777777" w:rsidR="00E80B79" w:rsidRPr="00E80B79" w:rsidRDefault="00E80B79" w:rsidP="00E80B79"/>
        </w:tc>
      </w:tr>
      <w:tr w:rsidR="00E80B79" w:rsidRPr="00E80B79" w14:paraId="2184CF74" w14:textId="77777777">
        <w:tblPrEx>
          <w:tblCellMar>
            <w:top w:w="0" w:type="dxa"/>
            <w:bottom w:w="0" w:type="dxa"/>
          </w:tblCellMar>
        </w:tblPrEx>
        <w:trPr>
          <w:trHeight w:val="300"/>
        </w:trPr>
        <w:tc>
          <w:tcPr>
            <w:tcW w:w="2600" w:type="dxa"/>
            <w:hMerge w:val="restart"/>
            <w:tcBorders>
              <w:top w:val="nil"/>
              <w:left w:val="nil"/>
              <w:bottom w:val="nil"/>
              <w:right w:val="nil"/>
            </w:tcBorders>
          </w:tcPr>
          <w:p w14:paraId="0666C8CF" w14:textId="77777777" w:rsidR="00E80B79" w:rsidRPr="00E80B79" w:rsidRDefault="00E80B79" w:rsidP="00E80B79">
            <w:pPr>
              <w:rPr>
                <w:b/>
                <w:bCs/>
              </w:rPr>
            </w:pPr>
            <w:r w:rsidRPr="00E80B79">
              <w:rPr>
                <w:b/>
                <w:bCs/>
              </w:rPr>
              <w:t>Travel &amp; Recruitment</w:t>
            </w:r>
          </w:p>
        </w:tc>
        <w:tc>
          <w:tcPr>
            <w:gridSpan w:val="3"/>
            <w:hMerge/>
            <w:tcBorders>
              <w:top w:val="nil"/>
              <w:left w:val="nil"/>
              <w:bottom w:val="nil"/>
              <w:right w:val="nil"/>
            </w:tcBorders>
          </w:tcPr>
          <w:p w14:paraId="30326CF7" w14:textId="77777777" w:rsidR="00E80B79" w:rsidRPr="00E80B79" w:rsidRDefault="00E80B79" w:rsidP="00E80B79"/>
        </w:tc>
        <w:tc>
          <w:tcPr>
            <w:tcW w:w="1300" w:type="dxa"/>
            <w:gridSpan w:val="2"/>
            <w:tcBorders>
              <w:top w:val="nil"/>
              <w:left w:val="nil"/>
              <w:bottom w:val="nil"/>
              <w:right w:val="nil"/>
            </w:tcBorders>
          </w:tcPr>
          <w:p w14:paraId="198B0950" w14:textId="77777777" w:rsidR="00E80B79" w:rsidRPr="00E80B79" w:rsidRDefault="00E80B79" w:rsidP="00E80B79"/>
        </w:tc>
        <w:tc>
          <w:tcPr>
            <w:tcW w:w="1300" w:type="dxa"/>
            <w:tcBorders>
              <w:top w:val="nil"/>
              <w:left w:val="nil"/>
              <w:bottom w:val="nil"/>
              <w:right w:val="nil"/>
            </w:tcBorders>
          </w:tcPr>
          <w:p w14:paraId="05F103C7" w14:textId="77777777" w:rsidR="00E80B79" w:rsidRPr="00E80B79" w:rsidRDefault="00E80B79" w:rsidP="00E80B79"/>
        </w:tc>
        <w:tc>
          <w:tcPr>
            <w:tcW w:w="1300" w:type="dxa"/>
            <w:tcBorders>
              <w:top w:val="nil"/>
              <w:left w:val="nil"/>
              <w:bottom w:val="nil"/>
              <w:right w:val="nil"/>
            </w:tcBorders>
          </w:tcPr>
          <w:p w14:paraId="0A2AA83D" w14:textId="77777777" w:rsidR="00E80B79" w:rsidRPr="00E80B79" w:rsidRDefault="00E80B79" w:rsidP="00E80B79"/>
        </w:tc>
      </w:tr>
      <w:tr w:rsidR="00E80B79" w:rsidRPr="00E80B79" w14:paraId="24FA7E01" w14:textId="77777777">
        <w:tblPrEx>
          <w:tblCellMar>
            <w:top w:w="0" w:type="dxa"/>
            <w:bottom w:w="0" w:type="dxa"/>
          </w:tblCellMar>
        </w:tblPrEx>
        <w:trPr>
          <w:trHeight w:val="300"/>
        </w:trPr>
        <w:tc>
          <w:tcPr>
            <w:tcW w:w="1300" w:type="dxa"/>
            <w:gridSpan w:val="3"/>
            <w:tcBorders>
              <w:top w:val="nil"/>
              <w:left w:val="nil"/>
              <w:bottom w:val="nil"/>
              <w:right w:val="nil"/>
            </w:tcBorders>
          </w:tcPr>
          <w:p w14:paraId="7F175DD1" w14:textId="77777777" w:rsidR="00E80B79" w:rsidRPr="00E80B79" w:rsidRDefault="00E80B79" w:rsidP="00E80B79">
            <w:r w:rsidRPr="00E80B79">
              <w:t>School Visits</w:t>
            </w:r>
          </w:p>
        </w:tc>
        <w:tc>
          <w:tcPr>
            <w:tcW w:w="1300" w:type="dxa"/>
            <w:tcBorders>
              <w:top w:val="nil"/>
              <w:left w:val="nil"/>
              <w:bottom w:val="nil"/>
              <w:right w:val="nil"/>
            </w:tcBorders>
          </w:tcPr>
          <w:p w14:paraId="3E772279" w14:textId="77777777" w:rsidR="00E80B79" w:rsidRPr="00E80B79" w:rsidRDefault="00E80B79" w:rsidP="00E80B79"/>
        </w:tc>
        <w:tc>
          <w:tcPr>
            <w:tcW w:w="1300" w:type="dxa"/>
            <w:gridSpan w:val="2"/>
            <w:tcBorders>
              <w:top w:val="nil"/>
              <w:left w:val="nil"/>
              <w:bottom w:val="nil"/>
              <w:right w:val="nil"/>
            </w:tcBorders>
          </w:tcPr>
          <w:p w14:paraId="7B72460F" w14:textId="77777777" w:rsidR="00E80B79" w:rsidRPr="00E80B79" w:rsidRDefault="00E80B79" w:rsidP="00E80B79">
            <w:r w:rsidRPr="00E80B79">
              <w:t xml:space="preserve">$7,000 </w:t>
            </w:r>
          </w:p>
        </w:tc>
        <w:tc>
          <w:tcPr>
            <w:tcW w:w="1300" w:type="dxa"/>
            <w:tcBorders>
              <w:top w:val="nil"/>
              <w:left w:val="nil"/>
              <w:bottom w:val="nil"/>
              <w:right w:val="nil"/>
            </w:tcBorders>
          </w:tcPr>
          <w:p w14:paraId="69F69FF0" w14:textId="77777777" w:rsidR="00E80B79" w:rsidRPr="00E80B79" w:rsidRDefault="00E80B79" w:rsidP="00E80B79"/>
        </w:tc>
        <w:tc>
          <w:tcPr>
            <w:tcW w:w="1300" w:type="dxa"/>
            <w:tcBorders>
              <w:top w:val="nil"/>
              <w:left w:val="nil"/>
              <w:bottom w:val="nil"/>
              <w:right w:val="nil"/>
            </w:tcBorders>
          </w:tcPr>
          <w:p w14:paraId="3562A902" w14:textId="77777777" w:rsidR="00E80B79" w:rsidRPr="00E80B79" w:rsidRDefault="00E80B79" w:rsidP="00E80B79">
            <w:r w:rsidRPr="00E80B79">
              <w:t xml:space="preserve">$7,140 </w:t>
            </w:r>
          </w:p>
        </w:tc>
      </w:tr>
      <w:tr w:rsidR="00E80B79" w:rsidRPr="00E80B79" w14:paraId="62599D72" w14:textId="77777777">
        <w:tblPrEx>
          <w:tblCellMar>
            <w:top w:w="0" w:type="dxa"/>
            <w:bottom w:w="0" w:type="dxa"/>
          </w:tblCellMar>
        </w:tblPrEx>
        <w:trPr>
          <w:trHeight w:val="300"/>
        </w:trPr>
        <w:tc>
          <w:tcPr>
            <w:tcW w:w="1300" w:type="dxa"/>
            <w:gridSpan w:val="3"/>
            <w:tcBorders>
              <w:top w:val="nil"/>
              <w:left w:val="nil"/>
              <w:bottom w:val="nil"/>
              <w:right w:val="nil"/>
            </w:tcBorders>
          </w:tcPr>
          <w:p w14:paraId="38C0C2C2" w14:textId="77777777" w:rsidR="00E80B79" w:rsidRPr="00E80B79" w:rsidRDefault="00E80B79" w:rsidP="00E80B79">
            <w:r w:rsidRPr="00E80B79">
              <w:lastRenderedPageBreak/>
              <w:t>College Fairs</w:t>
            </w:r>
          </w:p>
        </w:tc>
        <w:tc>
          <w:tcPr>
            <w:tcW w:w="1300" w:type="dxa"/>
            <w:tcBorders>
              <w:top w:val="nil"/>
              <w:left w:val="nil"/>
              <w:bottom w:val="nil"/>
              <w:right w:val="nil"/>
            </w:tcBorders>
          </w:tcPr>
          <w:p w14:paraId="55FC5083" w14:textId="77777777" w:rsidR="00E80B79" w:rsidRPr="00E80B79" w:rsidRDefault="00E80B79" w:rsidP="00E80B79"/>
        </w:tc>
        <w:tc>
          <w:tcPr>
            <w:tcW w:w="1300" w:type="dxa"/>
            <w:gridSpan w:val="2"/>
            <w:tcBorders>
              <w:top w:val="nil"/>
              <w:left w:val="nil"/>
              <w:bottom w:val="nil"/>
              <w:right w:val="nil"/>
            </w:tcBorders>
          </w:tcPr>
          <w:p w14:paraId="4BA988BB" w14:textId="77777777" w:rsidR="00E80B79" w:rsidRPr="00E80B79" w:rsidRDefault="00E80B79" w:rsidP="00E80B79">
            <w:r w:rsidRPr="00E80B79">
              <w:t xml:space="preserve">$6,000 </w:t>
            </w:r>
          </w:p>
        </w:tc>
        <w:tc>
          <w:tcPr>
            <w:tcW w:w="1300" w:type="dxa"/>
            <w:tcBorders>
              <w:top w:val="nil"/>
              <w:left w:val="nil"/>
              <w:bottom w:val="nil"/>
              <w:right w:val="nil"/>
            </w:tcBorders>
          </w:tcPr>
          <w:p w14:paraId="41EF514A" w14:textId="77777777" w:rsidR="00E80B79" w:rsidRPr="00E80B79" w:rsidRDefault="00E80B79" w:rsidP="00E80B79"/>
        </w:tc>
        <w:tc>
          <w:tcPr>
            <w:tcW w:w="1300" w:type="dxa"/>
            <w:tcBorders>
              <w:top w:val="nil"/>
              <w:left w:val="nil"/>
              <w:bottom w:val="nil"/>
              <w:right w:val="nil"/>
            </w:tcBorders>
          </w:tcPr>
          <w:p w14:paraId="150E582E" w14:textId="77777777" w:rsidR="00E80B79" w:rsidRPr="00E80B79" w:rsidRDefault="00E80B79" w:rsidP="00E80B79">
            <w:r w:rsidRPr="00E80B79">
              <w:t xml:space="preserve">$6,120 </w:t>
            </w:r>
          </w:p>
        </w:tc>
      </w:tr>
      <w:tr w:rsidR="00E80B79" w:rsidRPr="00E80B79" w14:paraId="3C48622A" w14:textId="77777777">
        <w:tblPrEx>
          <w:tblCellMar>
            <w:top w:w="0" w:type="dxa"/>
            <w:bottom w:w="0" w:type="dxa"/>
          </w:tblCellMar>
        </w:tblPrEx>
        <w:trPr>
          <w:trHeight w:val="300"/>
        </w:trPr>
        <w:tc>
          <w:tcPr>
            <w:tcW w:w="2600" w:type="dxa"/>
            <w:hMerge w:val="restart"/>
            <w:tcBorders>
              <w:top w:val="nil"/>
              <w:left w:val="nil"/>
              <w:bottom w:val="nil"/>
              <w:right w:val="nil"/>
            </w:tcBorders>
          </w:tcPr>
          <w:p w14:paraId="22FA1C39" w14:textId="77777777" w:rsidR="00E80B79" w:rsidRPr="00E80B79" w:rsidRDefault="00E80B79" w:rsidP="00E80B79">
            <w:r w:rsidRPr="00E80B79">
              <w:t>Conferences &amp; Professional Development</w:t>
            </w:r>
          </w:p>
        </w:tc>
        <w:tc>
          <w:tcPr>
            <w:gridSpan w:val="3"/>
            <w:hMerge/>
            <w:tcBorders>
              <w:top w:val="nil"/>
              <w:left w:val="nil"/>
              <w:bottom w:val="nil"/>
              <w:right w:val="nil"/>
            </w:tcBorders>
          </w:tcPr>
          <w:p w14:paraId="70196935" w14:textId="77777777" w:rsidR="00E80B79" w:rsidRPr="00E80B79" w:rsidRDefault="00E80B79" w:rsidP="00E80B79"/>
        </w:tc>
        <w:tc>
          <w:tcPr>
            <w:tcW w:w="1300" w:type="dxa"/>
            <w:gridSpan w:val="2"/>
            <w:tcBorders>
              <w:top w:val="nil"/>
              <w:left w:val="nil"/>
              <w:bottom w:val="nil"/>
              <w:right w:val="nil"/>
            </w:tcBorders>
          </w:tcPr>
          <w:p w14:paraId="19E6006E" w14:textId="77777777" w:rsidR="00E80B79" w:rsidRPr="00E80B79" w:rsidRDefault="00E80B79" w:rsidP="00E80B79">
            <w:r w:rsidRPr="00E80B79">
              <w:t xml:space="preserve">$9,000 </w:t>
            </w:r>
          </w:p>
        </w:tc>
        <w:tc>
          <w:tcPr>
            <w:tcW w:w="1300" w:type="dxa"/>
            <w:tcBorders>
              <w:top w:val="nil"/>
              <w:left w:val="nil"/>
              <w:bottom w:val="nil"/>
              <w:right w:val="nil"/>
            </w:tcBorders>
          </w:tcPr>
          <w:p w14:paraId="27AB3E46" w14:textId="77777777" w:rsidR="00E80B79" w:rsidRPr="00E80B79" w:rsidRDefault="00E80B79" w:rsidP="00E80B79"/>
        </w:tc>
        <w:tc>
          <w:tcPr>
            <w:tcW w:w="1300" w:type="dxa"/>
            <w:tcBorders>
              <w:top w:val="nil"/>
              <w:left w:val="nil"/>
              <w:bottom w:val="nil"/>
              <w:right w:val="nil"/>
            </w:tcBorders>
          </w:tcPr>
          <w:p w14:paraId="6F80D3C0" w14:textId="77777777" w:rsidR="00E80B79" w:rsidRPr="00E80B79" w:rsidRDefault="00E80B79" w:rsidP="00E80B79">
            <w:r w:rsidRPr="00E80B79">
              <w:t xml:space="preserve">$9,180 </w:t>
            </w:r>
          </w:p>
        </w:tc>
      </w:tr>
      <w:tr w:rsidR="00E80B79" w:rsidRPr="00E80B79" w14:paraId="7EEA18BC" w14:textId="77777777">
        <w:tblPrEx>
          <w:tblCellMar>
            <w:top w:w="0" w:type="dxa"/>
            <w:bottom w:w="0" w:type="dxa"/>
          </w:tblCellMar>
        </w:tblPrEx>
        <w:trPr>
          <w:trHeight w:val="300"/>
        </w:trPr>
        <w:tc>
          <w:tcPr>
            <w:tcW w:w="1300" w:type="dxa"/>
            <w:gridSpan w:val="3"/>
            <w:tcBorders>
              <w:top w:val="nil"/>
              <w:left w:val="nil"/>
              <w:bottom w:val="nil"/>
              <w:right w:val="nil"/>
            </w:tcBorders>
          </w:tcPr>
          <w:p w14:paraId="3FEAB103" w14:textId="77777777" w:rsidR="00E80B79" w:rsidRPr="00E80B79" w:rsidRDefault="00E80B79" w:rsidP="00E80B79">
            <w:r w:rsidRPr="00E80B79">
              <w:t>Total</w:t>
            </w:r>
          </w:p>
        </w:tc>
        <w:tc>
          <w:tcPr>
            <w:tcW w:w="1300" w:type="dxa"/>
            <w:tcBorders>
              <w:top w:val="nil"/>
              <w:left w:val="nil"/>
              <w:bottom w:val="nil"/>
              <w:right w:val="nil"/>
            </w:tcBorders>
          </w:tcPr>
          <w:p w14:paraId="29958C12" w14:textId="77777777" w:rsidR="00E80B79" w:rsidRPr="00E80B79" w:rsidRDefault="00E80B79" w:rsidP="00E80B79"/>
        </w:tc>
        <w:tc>
          <w:tcPr>
            <w:tcW w:w="1300" w:type="dxa"/>
            <w:gridSpan w:val="2"/>
            <w:tcBorders>
              <w:top w:val="nil"/>
              <w:left w:val="nil"/>
              <w:bottom w:val="nil"/>
              <w:right w:val="nil"/>
            </w:tcBorders>
          </w:tcPr>
          <w:p w14:paraId="692B490E" w14:textId="77777777" w:rsidR="00E80B79" w:rsidRPr="00E80B79" w:rsidRDefault="00E80B79" w:rsidP="00E80B79">
            <w:r w:rsidRPr="00E80B79">
              <w:t xml:space="preserve">$22,000 </w:t>
            </w:r>
          </w:p>
        </w:tc>
        <w:tc>
          <w:tcPr>
            <w:tcW w:w="1300" w:type="dxa"/>
            <w:tcBorders>
              <w:top w:val="nil"/>
              <w:left w:val="nil"/>
              <w:bottom w:val="nil"/>
              <w:right w:val="nil"/>
            </w:tcBorders>
          </w:tcPr>
          <w:p w14:paraId="3C9E98F8" w14:textId="77777777" w:rsidR="00E80B79" w:rsidRPr="00E80B79" w:rsidRDefault="00E80B79" w:rsidP="00E80B79"/>
        </w:tc>
        <w:tc>
          <w:tcPr>
            <w:tcW w:w="1300" w:type="dxa"/>
            <w:tcBorders>
              <w:top w:val="nil"/>
              <w:left w:val="nil"/>
              <w:bottom w:val="nil"/>
              <w:right w:val="nil"/>
            </w:tcBorders>
          </w:tcPr>
          <w:p w14:paraId="2B5F37BD" w14:textId="77777777" w:rsidR="00E80B79" w:rsidRPr="00E80B79" w:rsidRDefault="00E80B79" w:rsidP="00E80B79">
            <w:r w:rsidRPr="00E80B79">
              <w:t xml:space="preserve">$22,440 </w:t>
            </w:r>
          </w:p>
        </w:tc>
      </w:tr>
      <w:tr w:rsidR="00E80B79" w:rsidRPr="00E80B79" w14:paraId="178496C8" w14:textId="77777777">
        <w:tblPrEx>
          <w:tblCellMar>
            <w:top w:w="0" w:type="dxa"/>
            <w:bottom w:w="0" w:type="dxa"/>
          </w:tblCellMar>
        </w:tblPrEx>
        <w:trPr>
          <w:trHeight w:val="300"/>
        </w:trPr>
        <w:tc>
          <w:tcPr>
            <w:tcW w:w="1300" w:type="dxa"/>
            <w:gridSpan w:val="3"/>
            <w:tcBorders>
              <w:top w:val="nil"/>
              <w:left w:val="nil"/>
              <w:bottom w:val="nil"/>
              <w:right w:val="nil"/>
            </w:tcBorders>
          </w:tcPr>
          <w:p w14:paraId="75C3E4A5" w14:textId="77777777" w:rsidR="00E80B79" w:rsidRPr="00E80B79" w:rsidRDefault="00E80B79" w:rsidP="00E80B79"/>
        </w:tc>
        <w:tc>
          <w:tcPr>
            <w:tcW w:w="1300" w:type="dxa"/>
            <w:tcBorders>
              <w:top w:val="nil"/>
              <w:left w:val="nil"/>
              <w:bottom w:val="nil"/>
              <w:right w:val="nil"/>
            </w:tcBorders>
          </w:tcPr>
          <w:p w14:paraId="772793FC" w14:textId="77777777" w:rsidR="00E80B79" w:rsidRPr="00E80B79" w:rsidRDefault="00E80B79" w:rsidP="00E80B79"/>
        </w:tc>
        <w:tc>
          <w:tcPr>
            <w:tcW w:w="1300" w:type="dxa"/>
            <w:gridSpan w:val="2"/>
            <w:tcBorders>
              <w:top w:val="nil"/>
              <w:left w:val="nil"/>
              <w:bottom w:val="nil"/>
              <w:right w:val="nil"/>
            </w:tcBorders>
          </w:tcPr>
          <w:p w14:paraId="4465291A" w14:textId="77777777" w:rsidR="00E80B79" w:rsidRPr="00E80B79" w:rsidRDefault="00E80B79" w:rsidP="00E80B79">
            <w:r w:rsidRPr="00E80B79">
              <w:t xml:space="preserve">$90,000 </w:t>
            </w:r>
          </w:p>
        </w:tc>
        <w:tc>
          <w:tcPr>
            <w:tcW w:w="1300" w:type="dxa"/>
            <w:tcBorders>
              <w:top w:val="nil"/>
              <w:left w:val="nil"/>
              <w:bottom w:val="nil"/>
              <w:right w:val="nil"/>
            </w:tcBorders>
          </w:tcPr>
          <w:p w14:paraId="77E69C57" w14:textId="77777777" w:rsidR="00E80B79" w:rsidRPr="00E80B79" w:rsidRDefault="00E80B79" w:rsidP="00E80B79"/>
        </w:tc>
        <w:tc>
          <w:tcPr>
            <w:tcW w:w="1300" w:type="dxa"/>
            <w:tcBorders>
              <w:top w:val="nil"/>
              <w:left w:val="nil"/>
              <w:bottom w:val="nil"/>
              <w:right w:val="nil"/>
            </w:tcBorders>
          </w:tcPr>
          <w:p w14:paraId="6508A3E6" w14:textId="77777777" w:rsidR="00E80B79" w:rsidRPr="00E80B79" w:rsidRDefault="00E80B79" w:rsidP="00E80B79">
            <w:r w:rsidRPr="00E80B79">
              <w:t xml:space="preserve">$91,680 </w:t>
            </w:r>
          </w:p>
        </w:tc>
      </w:tr>
    </w:tbl>
    <w:p w14:paraId="775DF1DF" w14:textId="77777777" w:rsidR="00E80B79" w:rsidRDefault="00E80B79"/>
    <w:sectPr w:rsidR="00E80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BE2947"/>
    <w:multiLevelType w:val="multilevel"/>
    <w:tmpl w:val="86E8F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75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08"/>
    <w:rsid w:val="0009334C"/>
    <w:rsid w:val="00111349"/>
    <w:rsid w:val="00277376"/>
    <w:rsid w:val="00302B08"/>
    <w:rsid w:val="003711C5"/>
    <w:rsid w:val="004448BD"/>
    <w:rsid w:val="0045591F"/>
    <w:rsid w:val="0049145D"/>
    <w:rsid w:val="004D7347"/>
    <w:rsid w:val="00642A61"/>
    <w:rsid w:val="006D660E"/>
    <w:rsid w:val="00733B2A"/>
    <w:rsid w:val="008A4DBD"/>
    <w:rsid w:val="009232F4"/>
    <w:rsid w:val="00940C27"/>
    <w:rsid w:val="00957780"/>
    <w:rsid w:val="00991425"/>
    <w:rsid w:val="00A14DBA"/>
    <w:rsid w:val="00A77608"/>
    <w:rsid w:val="00A84909"/>
    <w:rsid w:val="00AD2DC8"/>
    <w:rsid w:val="00B6178C"/>
    <w:rsid w:val="00CC4D69"/>
    <w:rsid w:val="00CC6421"/>
    <w:rsid w:val="00CF39C6"/>
    <w:rsid w:val="00D16BA7"/>
    <w:rsid w:val="00E23AB7"/>
    <w:rsid w:val="00E8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2F762A"/>
  <w15:chartTrackingRefBased/>
  <w15:docId w15:val="{191C300F-5AB5-CD47-B2B3-816EAAA0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7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7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608"/>
    <w:rPr>
      <w:rFonts w:eastAsiaTheme="majorEastAsia" w:cstheme="majorBidi"/>
      <w:color w:val="272727" w:themeColor="text1" w:themeTint="D8"/>
    </w:rPr>
  </w:style>
  <w:style w:type="paragraph" w:styleId="Title">
    <w:name w:val="Title"/>
    <w:basedOn w:val="Normal"/>
    <w:next w:val="Normal"/>
    <w:link w:val="TitleChar"/>
    <w:uiPriority w:val="10"/>
    <w:qFormat/>
    <w:rsid w:val="00A77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608"/>
    <w:pPr>
      <w:spacing w:before="160"/>
      <w:jc w:val="center"/>
    </w:pPr>
    <w:rPr>
      <w:i/>
      <w:iCs/>
      <w:color w:val="404040" w:themeColor="text1" w:themeTint="BF"/>
    </w:rPr>
  </w:style>
  <w:style w:type="character" w:customStyle="1" w:styleId="QuoteChar">
    <w:name w:val="Quote Char"/>
    <w:basedOn w:val="DefaultParagraphFont"/>
    <w:link w:val="Quote"/>
    <w:uiPriority w:val="29"/>
    <w:rsid w:val="00A77608"/>
    <w:rPr>
      <w:i/>
      <w:iCs/>
      <w:color w:val="404040" w:themeColor="text1" w:themeTint="BF"/>
    </w:rPr>
  </w:style>
  <w:style w:type="paragraph" w:styleId="ListParagraph">
    <w:name w:val="List Paragraph"/>
    <w:basedOn w:val="Normal"/>
    <w:uiPriority w:val="34"/>
    <w:qFormat/>
    <w:rsid w:val="00A77608"/>
    <w:pPr>
      <w:ind w:left="720"/>
      <w:contextualSpacing/>
    </w:pPr>
  </w:style>
  <w:style w:type="character" w:styleId="IntenseEmphasis">
    <w:name w:val="Intense Emphasis"/>
    <w:basedOn w:val="DefaultParagraphFont"/>
    <w:uiPriority w:val="21"/>
    <w:qFormat/>
    <w:rsid w:val="00A77608"/>
    <w:rPr>
      <w:i/>
      <w:iCs/>
      <w:color w:val="0F4761" w:themeColor="accent1" w:themeShade="BF"/>
    </w:rPr>
  </w:style>
  <w:style w:type="paragraph" w:styleId="IntenseQuote">
    <w:name w:val="Intense Quote"/>
    <w:basedOn w:val="Normal"/>
    <w:next w:val="Normal"/>
    <w:link w:val="IntenseQuoteChar"/>
    <w:uiPriority w:val="30"/>
    <w:qFormat/>
    <w:rsid w:val="00A77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608"/>
    <w:rPr>
      <w:i/>
      <w:iCs/>
      <w:color w:val="0F4761" w:themeColor="accent1" w:themeShade="BF"/>
    </w:rPr>
  </w:style>
  <w:style w:type="character" w:styleId="IntenseReference">
    <w:name w:val="Intense Reference"/>
    <w:basedOn w:val="DefaultParagraphFont"/>
    <w:uiPriority w:val="32"/>
    <w:qFormat/>
    <w:rsid w:val="00A776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64757">
      <w:bodyDiv w:val="1"/>
      <w:marLeft w:val="0"/>
      <w:marRight w:val="0"/>
      <w:marTop w:val="0"/>
      <w:marBottom w:val="0"/>
      <w:divBdr>
        <w:top w:val="none" w:sz="0" w:space="0" w:color="auto"/>
        <w:left w:val="none" w:sz="0" w:space="0" w:color="auto"/>
        <w:bottom w:val="none" w:sz="0" w:space="0" w:color="auto"/>
        <w:right w:val="none" w:sz="0" w:space="0" w:color="auto"/>
      </w:divBdr>
    </w:div>
    <w:div w:id="94516508">
      <w:bodyDiv w:val="1"/>
      <w:marLeft w:val="0"/>
      <w:marRight w:val="0"/>
      <w:marTop w:val="0"/>
      <w:marBottom w:val="0"/>
      <w:divBdr>
        <w:top w:val="none" w:sz="0" w:space="0" w:color="auto"/>
        <w:left w:val="none" w:sz="0" w:space="0" w:color="auto"/>
        <w:bottom w:val="none" w:sz="0" w:space="0" w:color="auto"/>
        <w:right w:val="none" w:sz="0" w:space="0" w:color="auto"/>
      </w:divBdr>
    </w:div>
    <w:div w:id="105004355">
      <w:bodyDiv w:val="1"/>
      <w:marLeft w:val="0"/>
      <w:marRight w:val="0"/>
      <w:marTop w:val="0"/>
      <w:marBottom w:val="0"/>
      <w:divBdr>
        <w:top w:val="none" w:sz="0" w:space="0" w:color="auto"/>
        <w:left w:val="none" w:sz="0" w:space="0" w:color="auto"/>
        <w:bottom w:val="none" w:sz="0" w:space="0" w:color="auto"/>
        <w:right w:val="none" w:sz="0" w:space="0" w:color="auto"/>
      </w:divBdr>
    </w:div>
    <w:div w:id="437145439">
      <w:bodyDiv w:val="1"/>
      <w:marLeft w:val="0"/>
      <w:marRight w:val="0"/>
      <w:marTop w:val="0"/>
      <w:marBottom w:val="0"/>
      <w:divBdr>
        <w:top w:val="none" w:sz="0" w:space="0" w:color="auto"/>
        <w:left w:val="none" w:sz="0" w:space="0" w:color="auto"/>
        <w:bottom w:val="none" w:sz="0" w:space="0" w:color="auto"/>
        <w:right w:val="none" w:sz="0" w:space="0" w:color="auto"/>
      </w:divBdr>
    </w:div>
    <w:div w:id="458456777">
      <w:bodyDiv w:val="1"/>
      <w:marLeft w:val="0"/>
      <w:marRight w:val="0"/>
      <w:marTop w:val="0"/>
      <w:marBottom w:val="0"/>
      <w:divBdr>
        <w:top w:val="none" w:sz="0" w:space="0" w:color="auto"/>
        <w:left w:val="none" w:sz="0" w:space="0" w:color="auto"/>
        <w:bottom w:val="none" w:sz="0" w:space="0" w:color="auto"/>
        <w:right w:val="none" w:sz="0" w:space="0" w:color="auto"/>
      </w:divBdr>
    </w:div>
    <w:div w:id="566846741">
      <w:bodyDiv w:val="1"/>
      <w:marLeft w:val="0"/>
      <w:marRight w:val="0"/>
      <w:marTop w:val="0"/>
      <w:marBottom w:val="0"/>
      <w:divBdr>
        <w:top w:val="none" w:sz="0" w:space="0" w:color="auto"/>
        <w:left w:val="none" w:sz="0" w:space="0" w:color="auto"/>
        <w:bottom w:val="none" w:sz="0" w:space="0" w:color="auto"/>
        <w:right w:val="none" w:sz="0" w:space="0" w:color="auto"/>
      </w:divBdr>
    </w:div>
    <w:div w:id="622880894">
      <w:bodyDiv w:val="1"/>
      <w:marLeft w:val="0"/>
      <w:marRight w:val="0"/>
      <w:marTop w:val="0"/>
      <w:marBottom w:val="0"/>
      <w:divBdr>
        <w:top w:val="none" w:sz="0" w:space="0" w:color="auto"/>
        <w:left w:val="none" w:sz="0" w:space="0" w:color="auto"/>
        <w:bottom w:val="none" w:sz="0" w:space="0" w:color="auto"/>
        <w:right w:val="none" w:sz="0" w:space="0" w:color="auto"/>
      </w:divBdr>
    </w:div>
    <w:div w:id="881986475">
      <w:bodyDiv w:val="1"/>
      <w:marLeft w:val="0"/>
      <w:marRight w:val="0"/>
      <w:marTop w:val="0"/>
      <w:marBottom w:val="0"/>
      <w:divBdr>
        <w:top w:val="none" w:sz="0" w:space="0" w:color="auto"/>
        <w:left w:val="none" w:sz="0" w:space="0" w:color="auto"/>
        <w:bottom w:val="none" w:sz="0" w:space="0" w:color="auto"/>
        <w:right w:val="none" w:sz="0" w:space="0" w:color="auto"/>
      </w:divBdr>
    </w:div>
    <w:div w:id="1080368240">
      <w:bodyDiv w:val="1"/>
      <w:marLeft w:val="0"/>
      <w:marRight w:val="0"/>
      <w:marTop w:val="0"/>
      <w:marBottom w:val="0"/>
      <w:divBdr>
        <w:top w:val="none" w:sz="0" w:space="0" w:color="auto"/>
        <w:left w:val="none" w:sz="0" w:space="0" w:color="auto"/>
        <w:bottom w:val="none" w:sz="0" w:space="0" w:color="auto"/>
        <w:right w:val="none" w:sz="0" w:space="0" w:color="auto"/>
      </w:divBdr>
    </w:div>
    <w:div w:id="1110584839">
      <w:bodyDiv w:val="1"/>
      <w:marLeft w:val="0"/>
      <w:marRight w:val="0"/>
      <w:marTop w:val="0"/>
      <w:marBottom w:val="0"/>
      <w:divBdr>
        <w:top w:val="none" w:sz="0" w:space="0" w:color="auto"/>
        <w:left w:val="none" w:sz="0" w:space="0" w:color="auto"/>
        <w:bottom w:val="none" w:sz="0" w:space="0" w:color="auto"/>
        <w:right w:val="none" w:sz="0" w:space="0" w:color="auto"/>
      </w:divBdr>
    </w:div>
    <w:div w:id="1208908214">
      <w:bodyDiv w:val="1"/>
      <w:marLeft w:val="0"/>
      <w:marRight w:val="0"/>
      <w:marTop w:val="0"/>
      <w:marBottom w:val="0"/>
      <w:divBdr>
        <w:top w:val="none" w:sz="0" w:space="0" w:color="auto"/>
        <w:left w:val="none" w:sz="0" w:space="0" w:color="auto"/>
        <w:bottom w:val="none" w:sz="0" w:space="0" w:color="auto"/>
        <w:right w:val="none" w:sz="0" w:space="0" w:color="auto"/>
      </w:divBdr>
    </w:div>
    <w:div w:id="1285191792">
      <w:bodyDiv w:val="1"/>
      <w:marLeft w:val="0"/>
      <w:marRight w:val="0"/>
      <w:marTop w:val="0"/>
      <w:marBottom w:val="0"/>
      <w:divBdr>
        <w:top w:val="none" w:sz="0" w:space="0" w:color="auto"/>
        <w:left w:val="none" w:sz="0" w:space="0" w:color="auto"/>
        <w:bottom w:val="none" w:sz="0" w:space="0" w:color="auto"/>
        <w:right w:val="none" w:sz="0" w:space="0" w:color="auto"/>
      </w:divBdr>
    </w:div>
    <w:div w:id="1299995872">
      <w:bodyDiv w:val="1"/>
      <w:marLeft w:val="0"/>
      <w:marRight w:val="0"/>
      <w:marTop w:val="0"/>
      <w:marBottom w:val="0"/>
      <w:divBdr>
        <w:top w:val="none" w:sz="0" w:space="0" w:color="auto"/>
        <w:left w:val="none" w:sz="0" w:space="0" w:color="auto"/>
        <w:bottom w:val="none" w:sz="0" w:space="0" w:color="auto"/>
        <w:right w:val="none" w:sz="0" w:space="0" w:color="auto"/>
      </w:divBdr>
    </w:div>
    <w:div w:id="1490291806">
      <w:bodyDiv w:val="1"/>
      <w:marLeft w:val="0"/>
      <w:marRight w:val="0"/>
      <w:marTop w:val="0"/>
      <w:marBottom w:val="0"/>
      <w:divBdr>
        <w:top w:val="none" w:sz="0" w:space="0" w:color="auto"/>
        <w:left w:val="none" w:sz="0" w:space="0" w:color="auto"/>
        <w:bottom w:val="none" w:sz="0" w:space="0" w:color="auto"/>
        <w:right w:val="none" w:sz="0" w:space="0" w:color="auto"/>
      </w:divBdr>
    </w:div>
    <w:div w:id="1625577428">
      <w:bodyDiv w:val="1"/>
      <w:marLeft w:val="0"/>
      <w:marRight w:val="0"/>
      <w:marTop w:val="0"/>
      <w:marBottom w:val="0"/>
      <w:divBdr>
        <w:top w:val="none" w:sz="0" w:space="0" w:color="auto"/>
        <w:left w:val="none" w:sz="0" w:space="0" w:color="auto"/>
        <w:bottom w:val="none" w:sz="0" w:space="0" w:color="auto"/>
        <w:right w:val="none" w:sz="0" w:space="0" w:color="auto"/>
      </w:divBdr>
    </w:div>
    <w:div w:id="1626307304">
      <w:bodyDiv w:val="1"/>
      <w:marLeft w:val="0"/>
      <w:marRight w:val="0"/>
      <w:marTop w:val="0"/>
      <w:marBottom w:val="0"/>
      <w:divBdr>
        <w:top w:val="none" w:sz="0" w:space="0" w:color="auto"/>
        <w:left w:val="none" w:sz="0" w:space="0" w:color="auto"/>
        <w:bottom w:val="none" w:sz="0" w:space="0" w:color="auto"/>
        <w:right w:val="none" w:sz="0" w:space="0" w:color="auto"/>
      </w:divBdr>
    </w:div>
    <w:div w:id="1636909064">
      <w:bodyDiv w:val="1"/>
      <w:marLeft w:val="0"/>
      <w:marRight w:val="0"/>
      <w:marTop w:val="0"/>
      <w:marBottom w:val="0"/>
      <w:divBdr>
        <w:top w:val="none" w:sz="0" w:space="0" w:color="auto"/>
        <w:left w:val="none" w:sz="0" w:space="0" w:color="auto"/>
        <w:bottom w:val="none" w:sz="0" w:space="0" w:color="auto"/>
        <w:right w:val="none" w:sz="0" w:space="0" w:color="auto"/>
      </w:divBdr>
    </w:div>
    <w:div w:id="1802459213">
      <w:bodyDiv w:val="1"/>
      <w:marLeft w:val="0"/>
      <w:marRight w:val="0"/>
      <w:marTop w:val="0"/>
      <w:marBottom w:val="0"/>
      <w:divBdr>
        <w:top w:val="none" w:sz="0" w:space="0" w:color="auto"/>
        <w:left w:val="none" w:sz="0" w:space="0" w:color="auto"/>
        <w:bottom w:val="none" w:sz="0" w:space="0" w:color="auto"/>
        <w:right w:val="none" w:sz="0" w:space="0" w:color="auto"/>
      </w:divBdr>
    </w:div>
    <w:div w:id="1936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6135</Words>
  <Characters>34976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Haadi, Abdul Gaffar</dc:creator>
  <cp:keywords/>
  <dc:description/>
  <cp:lastModifiedBy>Haadi, Abdul Gaffar</cp:lastModifiedBy>
  <cp:revision>4</cp:revision>
  <dcterms:created xsi:type="dcterms:W3CDTF">2025-04-23T12:21:00Z</dcterms:created>
  <dcterms:modified xsi:type="dcterms:W3CDTF">2025-04-23T12:33:00Z</dcterms:modified>
</cp:coreProperties>
</file>